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083" w:rsidRDefault="000D5083">
      <w:pPr>
        <w:framePr w:w="6841" w:h="898" w:hSpace="180" w:wrap="auto" w:vAnchor="text" w:hAnchor="page" w:x="3601" w:y="-356"/>
        <w:autoSpaceDE w:val="0"/>
        <w:autoSpaceDN w:val="0"/>
        <w:adjustRightInd w:val="0"/>
        <w:ind w:right="-900"/>
        <w:rPr>
          <w:b/>
          <w:bCs/>
          <w:caps/>
          <w:color w:val="000000"/>
          <w:sz w:val="30"/>
          <w:szCs w:val="30"/>
        </w:rPr>
      </w:pPr>
      <w:r>
        <w:rPr>
          <w:b/>
          <w:bCs/>
          <w:caps/>
          <w:color w:val="000000"/>
          <w:sz w:val="30"/>
          <w:szCs w:val="30"/>
        </w:rPr>
        <w:t>Project Identification Form (PIF)</w:t>
      </w:r>
      <w:r>
        <w:rPr>
          <w:rStyle w:val="FootnoteReference"/>
          <w:b/>
          <w:bCs/>
          <w:caps/>
          <w:color w:val="000000"/>
          <w:sz w:val="30"/>
          <w:szCs w:val="30"/>
        </w:rPr>
        <w:footnoteReference w:id="1"/>
      </w:r>
    </w:p>
    <w:p w:rsidR="000D5083" w:rsidRDefault="000D5083">
      <w:pPr>
        <w:framePr w:w="6841" w:h="898" w:hSpace="180" w:wrap="auto" w:vAnchor="text" w:hAnchor="page" w:x="3601" w:y="-356"/>
        <w:autoSpaceDE w:val="0"/>
        <w:autoSpaceDN w:val="0"/>
        <w:adjustRightInd w:val="0"/>
        <w:rPr>
          <w:color w:val="000000"/>
          <w:sz w:val="20"/>
          <w:szCs w:val="20"/>
        </w:rPr>
      </w:pPr>
      <w:bookmarkStart w:id="0" w:name="Dropdown7"/>
      <w:r>
        <w:rPr>
          <w:b/>
          <w:bCs/>
          <w:smallCaps/>
          <w:color w:val="000000"/>
          <w:sz w:val="20"/>
          <w:szCs w:val="20"/>
        </w:rPr>
        <w:t xml:space="preserve">Project Type: </w:t>
      </w:r>
      <w:bookmarkStart w:id="1" w:name="projectType"/>
      <w:bookmarkEnd w:id="0"/>
      <w:r w:rsidR="0082156C">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Pr>
          <w:b/>
          <w:bCs/>
          <w:smallCaps/>
          <w:color w:val="000000"/>
          <w:sz w:val="20"/>
          <w:szCs w:val="20"/>
        </w:rPr>
        <w:instrText xml:space="preserve"> FORMDROPDOWN </w:instrText>
      </w:r>
      <w:r w:rsidR="0082156C">
        <w:rPr>
          <w:b/>
          <w:bCs/>
          <w:smallCaps/>
          <w:color w:val="000000"/>
          <w:sz w:val="20"/>
          <w:szCs w:val="20"/>
        </w:rPr>
      </w:r>
      <w:r w:rsidR="0082156C">
        <w:rPr>
          <w:b/>
          <w:bCs/>
          <w:smallCaps/>
          <w:color w:val="000000"/>
          <w:sz w:val="20"/>
          <w:szCs w:val="20"/>
        </w:rPr>
        <w:fldChar w:fldCharType="end"/>
      </w:r>
      <w:bookmarkEnd w:id="1"/>
    </w:p>
    <w:p w:rsidR="000D5083" w:rsidRDefault="000D5083">
      <w:pPr>
        <w:framePr w:w="6841" w:h="898" w:hSpace="180" w:wrap="auto" w:vAnchor="text" w:hAnchor="page" w:x="3601" w:y="-356"/>
        <w:autoSpaceDE w:val="0"/>
        <w:autoSpaceDN w:val="0"/>
        <w:adjustRightInd w:val="0"/>
        <w:rPr>
          <w:b/>
          <w:bCs/>
          <w:sz w:val="20"/>
          <w:szCs w:val="20"/>
        </w:rPr>
      </w:pPr>
      <w:r>
        <w:rPr>
          <w:b/>
          <w:bCs/>
          <w:smallCaps/>
          <w:sz w:val="20"/>
          <w:szCs w:val="20"/>
        </w:rPr>
        <w:t>Type of Trust Fund:</w:t>
      </w:r>
      <w:bookmarkStart w:id="2" w:name="TFType"/>
      <w:r w:rsidR="0082156C">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Pr>
          <w:b/>
          <w:bCs/>
          <w:smallCaps/>
          <w:sz w:val="20"/>
          <w:szCs w:val="20"/>
        </w:rPr>
        <w:instrText xml:space="preserve"> FORMDROPDOWN </w:instrText>
      </w:r>
      <w:r w:rsidR="0082156C">
        <w:rPr>
          <w:b/>
          <w:bCs/>
          <w:smallCaps/>
          <w:sz w:val="20"/>
          <w:szCs w:val="20"/>
        </w:rPr>
      </w:r>
      <w:r w:rsidR="0082156C">
        <w:rPr>
          <w:b/>
          <w:bCs/>
          <w:smallCaps/>
          <w:sz w:val="20"/>
          <w:szCs w:val="20"/>
        </w:rPr>
        <w:fldChar w:fldCharType="end"/>
      </w:r>
      <w:bookmarkEnd w:id="2"/>
    </w:p>
    <w:p w:rsidR="000D5083" w:rsidRDefault="00BB0DC9">
      <w:pPr>
        <w:pStyle w:val="Footer"/>
        <w:tabs>
          <w:tab w:val="clear" w:pos="4320"/>
          <w:tab w:val="clear" w:pos="8640"/>
        </w:tabs>
        <w:rPr>
          <w:sz w:val="20"/>
          <w:szCs w:val="20"/>
        </w:rPr>
      </w:pPr>
      <w:r>
        <w:rPr>
          <w:noProof/>
        </w:rPr>
        <w:drawing>
          <wp:anchor distT="0" distB="0" distL="114300" distR="114300" simplePos="0" relativeHeight="251658240"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3900" cy="741680"/>
                    </a:xfrm>
                    <a:prstGeom prst="rect">
                      <a:avLst/>
                    </a:prstGeom>
                    <a:noFill/>
                  </pic:spPr>
                </pic:pic>
              </a:graphicData>
            </a:graphic>
          </wp:anchor>
        </w:drawing>
      </w:r>
    </w:p>
    <w:p w:rsidR="000D5083" w:rsidRDefault="000D5083">
      <w:pPr>
        <w:spacing w:after="80"/>
        <w:ind w:left="-630" w:right="-187"/>
        <w:rPr>
          <w:b/>
          <w:bCs/>
          <w:caps/>
          <w:sz w:val="22"/>
          <w:szCs w:val="22"/>
          <w:u w:val="single"/>
        </w:rPr>
      </w:pPr>
      <w:r>
        <w:rPr>
          <w:b/>
          <w:bCs/>
          <w:caps/>
          <w:sz w:val="22"/>
          <w:szCs w:val="22"/>
          <w:u w:val="single"/>
        </w:rPr>
        <w:t>PART I: Project Identification</w:t>
      </w:r>
    </w:p>
    <w:tbl>
      <w:tblPr>
        <w:tblW w:w="5465"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84"/>
        <w:gridCol w:w="3210"/>
        <w:gridCol w:w="2476"/>
        <w:gridCol w:w="2393"/>
      </w:tblGrid>
      <w:tr w:rsidR="000D5083">
        <w:tc>
          <w:tcPr>
            <w:tcW w:w="1212" w:type="pct"/>
          </w:tcPr>
          <w:p w:rsidR="000D5083" w:rsidRDefault="000D5083">
            <w:pPr>
              <w:rPr>
                <w:sz w:val="20"/>
                <w:szCs w:val="20"/>
              </w:rPr>
            </w:pPr>
            <w:r>
              <w:rPr>
                <w:sz w:val="20"/>
                <w:szCs w:val="20"/>
              </w:rPr>
              <w:t>Project Title:</w:t>
            </w:r>
          </w:p>
        </w:tc>
        <w:bookmarkStart w:id="3" w:name="ProjectTitle"/>
        <w:tc>
          <w:tcPr>
            <w:tcW w:w="3788" w:type="pct"/>
            <w:gridSpan w:val="3"/>
          </w:tcPr>
          <w:p w:rsidR="000D5083" w:rsidRDefault="0082156C">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Strengthening Low-Carbon Energy Island Strategies  </w:t>
            </w:r>
            <w:r>
              <w:rPr>
                <w:sz w:val="20"/>
                <w:szCs w:val="20"/>
              </w:rPr>
              <w:fldChar w:fldCharType="end"/>
            </w:r>
            <w:bookmarkEnd w:id="3"/>
          </w:p>
        </w:tc>
      </w:tr>
      <w:tr w:rsidR="000D5083">
        <w:tc>
          <w:tcPr>
            <w:tcW w:w="1212" w:type="pct"/>
          </w:tcPr>
          <w:p w:rsidR="000D5083" w:rsidRDefault="000D5083">
            <w:pPr>
              <w:rPr>
                <w:sz w:val="20"/>
                <w:szCs w:val="20"/>
              </w:rPr>
            </w:pPr>
            <w:r>
              <w:rPr>
                <w:sz w:val="20"/>
                <w:szCs w:val="20"/>
              </w:rPr>
              <w:t>Country(ies):</w:t>
            </w:r>
          </w:p>
        </w:tc>
        <w:bookmarkStart w:id="4" w:name="countries"/>
        <w:tc>
          <w:tcPr>
            <w:tcW w:w="1505" w:type="pct"/>
          </w:tcPr>
          <w:p w:rsidR="000D5083" w:rsidRDefault="0082156C">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Maldives</w:t>
            </w:r>
            <w:r>
              <w:rPr>
                <w:sz w:val="20"/>
                <w:szCs w:val="20"/>
              </w:rPr>
              <w:fldChar w:fldCharType="end"/>
            </w:r>
            <w:bookmarkEnd w:id="4"/>
          </w:p>
        </w:tc>
        <w:tc>
          <w:tcPr>
            <w:tcW w:w="1161" w:type="pct"/>
          </w:tcPr>
          <w:p w:rsidR="000D5083" w:rsidRDefault="000D5083">
            <w:pPr>
              <w:rPr>
                <w:sz w:val="20"/>
                <w:szCs w:val="20"/>
              </w:rPr>
            </w:pPr>
            <w:r>
              <w:rPr>
                <w:sz w:val="20"/>
                <w:szCs w:val="20"/>
              </w:rPr>
              <w:t>GEF Project ID:</w:t>
            </w:r>
            <w:r>
              <w:rPr>
                <w:sz w:val="20"/>
                <w:szCs w:val="20"/>
                <w:vertAlign w:val="superscript"/>
              </w:rPr>
              <w:footnoteReference w:id="2"/>
            </w:r>
          </w:p>
        </w:tc>
        <w:bookmarkStart w:id="5" w:name="GEF_ID"/>
        <w:tc>
          <w:tcPr>
            <w:tcW w:w="1121" w:type="pct"/>
          </w:tcPr>
          <w:p w:rsidR="000D5083" w:rsidRDefault="0082156C">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4629</w:t>
            </w:r>
            <w:r>
              <w:rPr>
                <w:sz w:val="20"/>
                <w:szCs w:val="20"/>
              </w:rPr>
              <w:fldChar w:fldCharType="end"/>
            </w:r>
            <w:bookmarkEnd w:id="5"/>
          </w:p>
        </w:tc>
      </w:tr>
      <w:tr w:rsidR="000D5083">
        <w:tc>
          <w:tcPr>
            <w:tcW w:w="1212" w:type="pct"/>
          </w:tcPr>
          <w:p w:rsidR="000D5083" w:rsidRDefault="000D5083">
            <w:pPr>
              <w:rPr>
                <w:sz w:val="20"/>
                <w:szCs w:val="20"/>
              </w:rPr>
            </w:pPr>
            <w:r>
              <w:rPr>
                <w:sz w:val="20"/>
                <w:szCs w:val="20"/>
              </w:rPr>
              <w:t>GEF Agency(ies):</w:t>
            </w:r>
          </w:p>
        </w:tc>
        <w:bookmarkStart w:id="6" w:name="GEF_IA_01"/>
        <w:tc>
          <w:tcPr>
            <w:tcW w:w="1505" w:type="pct"/>
          </w:tcPr>
          <w:p w:rsidR="000D5083" w:rsidRDefault="0082156C">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Start w:id="7" w:name="GEF_IA_02"/>
            <w:bookmarkEnd w:id="6"/>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Start w:id="8" w:name="GEF_IA_03"/>
            <w:bookmarkEnd w:id="7"/>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8"/>
          </w:p>
        </w:tc>
        <w:tc>
          <w:tcPr>
            <w:tcW w:w="1161" w:type="pct"/>
          </w:tcPr>
          <w:p w:rsidR="000D5083" w:rsidRDefault="000D5083">
            <w:pPr>
              <w:rPr>
                <w:sz w:val="20"/>
                <w:szCs w:val="20"/>
              </w:rPr>
            </w:pPr>
            <w:r>
              <w:rPr>
                <w:sz w:val="20"/>
                <w:szCs w:val="20"/>
              </w:rPr>
              <w:t>GEF Agency Project ID:</w:t>
            </w:r>
          </w:p>
        </w:tc>
        <w:bookmarkStart w:id="9" w:name="agencyID"/>
        <w:tc>
          <w:tcPr>
            <w:tcW w:w="1121" w:type="pct"/>
          </w:tcPr>
          <w:p w:rsidR="000D5083" w:rsidRDefault="0082156C">
            <w:pPr>
              <w:rPr>
                <w:sz w:val="20"/>
                <w:szCs w:val="20"/>
              </w:rPr>
            </w:pPr>
            <w:r>
              <w:rPr>
                <w:sz w:val="20"/>
                <w:szCs w:val="20"/>
              </w:rPr>
              <w:fldChar w:fldCharType="begin">
                <w:ffData>
                  <w:name w:val="agencyID"/>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00788</w:t>
            </w:r>
            <w:r>
              <w:rPr>
                <w:sz w:val="20"/>
                <w:szCs w:val="20"/>
              </w:rPr>
              <w:fldChar w:fldCharType="end"/>
            </w:r>
            <w:bookmarkEnd w:id="9"/>
          </w:p>
        </w:tc>
      </w:tr>
      <w:tr w:rsidR="000D5083">
        <w:tc>
          <w:tcPr>
            <w:tcW w:w="1212" w:type="pct"/>
          </w:tcPr>
          <w:p w:rsidR="000D5083" w:rsidRDefault="000D5083">
            <w:pPr>
              <w:rPr>
                <w:sz w:val="20"/>
                <w:szCs w:val="20"/>
              </w:rPr>
            </w:pPr>
            <w:r>
              <w:rPr>
                <w:sz w:val="20"/>
                <w:szCs w:val="20"/>
              </w:rPr>
              <w:t>Other Executing Partner(s):</w:t>
            </w:r>
          </w:p>
        </w:tc>
        <w:bookmarkStart w:id="10" w:name="ExecutingAgency"/>
        <w:tc>
          <w:tcPr>
            <w:tcW w:w="1505" w:type="pct"/>
          </w:tcPr>
          <w:p w:rsidR="000D5083" w:rsidRDefault="0082156C">
            <w:pPr>
              <w:rPr>
                <w:noProof/>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-Ministry of Housing &amp; Environment (MHE) will be lead EA, in collaboration with:</w:t>
            </w:r>
          </w:p>
          <w:p w:rsidR="000D5083" w:rsidRDefault="000D5083">
            <w:pPr>
              <w:rPr>
                <w:noProof/>
                <w:sz w:val="20"/>
                <w:szCs w:val="20"/>
              </w:rPr>
            </w:pPr>
            <w:r>
              <w:rPr>
                <w:noProof/>
                <w:sz w:val="20"/>
                <w:szCs w:val="20"/>
              </w:rPr>
              <w:t xml:space="preserve">-Ministry of Tourism, Arts&amp;Culture </w:t>
            </w:r>
          </w:p>
          <w:p w:rsidR="000D5083" w:rsidRDefault="000D5083">
            <w:pPr>
              <w:rPr>
                <w:noProof/>
                <w:sz w:val="20"/>
                <w:szCs w:val="20"/>
              </w:rPr>
            </w:pPr>
            <w:r>
              <w:rPr>
                <w:noProof/>
                <w:sz w:val="20"/>
                <w:szCs w:val="20"/>
              </w:rPr>
              <w:t>-Maldives Energy Authority(MEA)</w:t>
            </w:r>
          </w:p>
          <w:p w:rsidR="000D5083" w:rsidRDefault="000D5083">
            <w:pPr>
              <w:rPr>
                <w:noProof/>
                <w:sz w:val="20"/>
                <w:szCs w:val="20"/>
              </w:rPr>
            </w:pPr>
            <w:r>
              <w:rPr>
                <w:noProof/>
                <w:sz w:val="20"/>
                <w:szCs w:val="20"/>
              </w:rPr>
              <w:t>-Environmnetal Protection Agency</w:t>
            </w:r>
          </w:p>
          <w:p w:rsidR="000D5083" w:rsidRDefault="000D5083">
            <w:pPr>
              <w:rPr>
                <w:noProof/>
                <w:sz w:val="20"/>
                <w:szCs w:val="20"/>
              </w:rPr>
            </w:pPr>
            <w:r>
              <w:rPr>
                <w:noProof/>
                <w:sz w:val="20"/>
                <w:szCs w:val="20"/>
              </w:rPr>
              <w:t>-Maldives Association of Construction Industry (MACI)</w:t>
            </w:r>
          </w:p>
          <w:p w:rsidR="000D5083" w:rsidRDefault="000D5083">
            <w:pPr>
              <w:rPr>
                <w:noProof/>
                <w:sz w:val="20"/>
                <w:szCs w:val="20"/>
              </w:rPr>
            </w:pPr>
            <w:r>
              <w:rPr>
                <w:noProof/>
                <w:sz w:val="20"/>
                <w:szCs w:val="20"/>
              </w:rPr>
              <w:t>-Maldives Assosciation of Tourism Industry (MATI)</w:t>
            </w:r>
          </w:p>
          <w:p w:rsidR="000D5083" w:rsidRDefault="000D5083">
            <w:pPr>
              <w:rPr>
                <w:noProof/>
                <w:sz w:val="20"/>
                <w:szCs w:val="20"/>
              </w:rPr>
            </w:pPr>
            <w:r>
              <w:rPr>
                <w:noProof/>
                <w:sz w:val="20"/>
                <w:szCs w:val="20"/>
              </w:rPr>
              <w:t>-State Electric Company Limited (STELCO)</w:t>
            </w:r>
          </w:p>
          <w:p w:rsidR="000D5083" w:rsidRDefault="000D5083">
            <w:pPr>
              <w:rPr>
                <w:noProof/>
                <w:sz w:val="20"/>
                <w:szCs w:val="20"/>
              </w:rPr>
            </w:pPr>
            <w:r>
              <w:rPr>
                <w:noProof/>
                <w:sz w:val="20"/>
                <w:szCs w:val="20"/>
              </w:rPr>
              <w:t>-Male City Council</w:t>
            </w:r>
          </w:p>
          <w:p w:rsidR="000D5083" w:rsidRDefault="000D5083">
            <w:pPr>
              <w:rPr>
                <w:noProof/>
                <w:sz w:val="20"/>
                <w:szCs w:val="20"/>
              </w:rPr>
            </w:pPr>
            <w:r>
              <w:rPr>
                <w:noProof/>
                <w:sz w:val="20"/>
                <w:szCs w:val="20"/>
              </w:rPr>
              <w:t>-Maldives Polytechnic</w:t>
            </w:r>
          </w:p>
          <w:p w:rsidR="000D5083" w:rsidRDefault="000D5083">
            <w:pPr>
              <w:rPr>
                <w:noProof/>
                <w:sz w:val="20"/>
                <w:szCs w:val="20"/>
              </w:rPr>
            </w:pPr>
            <w:r>
              <w:rPr>
                <w:noProof/>
                <w:sz w:val="20"/>
                <w:szCs w:val="20"/>
              </w:rPr>
              <w:t>-UN Office for Project Services (UNOPS)-Maldives</w:t>
            </w:r>
          </w:p>
          <w:p w:rsidR="000D5083" w:rsidRDefault="000D5083">
            <w:pPr>
              <w:rPr>
                <w:sz w:val="20"/>
                <w:szCs w:val="20"/>
              </w:rPr>
            </w:pPr>
            <w:r>
              <w:rPr>
                <w:noProof/>
                <w:sz w:val="20"/>
                <w:szCs w:val="20"/>
              </w:rPr>
              <w:t>-UN-Department of Economics &amp; Social Affairs (UN-DESA)</w:t>
            </w:r>
            <w:r w:rsidR="0082156C">
              <w:rPr>
                <w:sz w:val="20"/>
                <w:szCs w:val="20"/>
              </w:rPr>
              <w:fldChar w:fldCharType="end"/>
            </w:r>
            <w:bookmarkEnd w:id="10"/>
          </w:p>
        </w:tc>
        <w:tc>
          <w:tcPr>
            <w:tcW w:w="1161" w:type="pct"/>
          </w:tcPr>
          <w:p w:rsidR="000D5083" w:rsidRDefault="000D5083">
            <w:pPr>
              <w:rPr>
                <w:sz w:val="20"/>
                <w:szCs w:val="20"/>
              </w:rPr>
            </w:pPr>
            <w:r>
              <w:rPr>
                <w:sz w:val="20"/>
                <w:szCs w:val="20"/>
              </w:rPr>
              <w:t>Submission Date:</w:t>
            </w:r>
          </w:p>
        </w:tc>
        <w:bookmarkStart w:id="11" w:name="SubmissionDate"/>
        <w:tc>
          <w:tcPr>
            <w:tcW w:w="1121" w:type="pct"/>
          </w:tcPr>
          <w:p w:rsidR="000D5083" w:rsidRDefault="0082156C">
            <w:pPr>
              <w:rPr>
                <w:sz w:val="20"/>
                <w:szCs w:val="20"/>
              </w:rPr>
            </w:pPr>
            <w:r>
              <w:rPr>
                <w:sz w:val="20"/>
                <w:szCs w:val="20"/>
              </w:rPr>
              <w:fldChar w:fldCharType="begin">
                <w:ffData>
                  <w:name w:val="SubmissionDate"/>
                  <w:enabled/>
                  <w:calcOnExit/>
                  <w:textInput>
                    <w:type w:val="date"/>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2011-11-28</w:t>
            </w:r>
            <w:r>
              <w:rPr>
                <w:sz w:val="20"/>
                <w:szCs w:val="20"/>
              </w:rPr>
              <w:fldChar w:fldCharType="end"/>
            </w:r>
            <w:bookmarkEnd w:id="11"/>
          </w:p>
        </w:tc>
      </w:tr>
      <w:tr w:rsidR="000D5083">
        <w:tc>
          <w:tcPr>
            <w:tcW w:w="1212" w:type="pct"/>
          </w:tcPr>
          <w:p w:rsidR="000D5083" w:rsidRDefault="000D5083">
            <w:pPr>
              <w:rPr>
                <w:sz w:val="20"/>
                <w:szCs w:val="20"/>
              </w:rPr>
            </w:pPr>
            <w:r>
              <w:rPr>
                <w:sz w:val="20"/>
                <w:szCs w:val="20"/>
              </w:rPr>
              <w:t>GEF Focal Area (s):</w:t>
            </w:r>
          </w:p>
        </w:tc>
        <w:bookmarkStart w:id="12" w:name="focalArea"/>
        <w:tc>
          <w:tcPr>
            <w:tcW w:w="1505" w:type="pct"/>
          </w:tcPr>
          <w:p w:rsidR="000D5083" w:rsidRDefault="0082156C">
            <w:pPr>
              <w:rPr>
                <w:sz w:val="20"/>
                <w:szCs w:val="20"/>
              </w:rPr>
            </w:pPr>
            <w:r>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12"/>
          </w:p>
        </w:tc>
        <w:tc>
          <w:tcPr>
            <w:tcW w:w="1161" w:type="pct"/>
          </w:tcPr>
          <w:p w:rsidR="000D5083" w:rsidRDefault="000D5083">
            <w:pPr>
              <w:rPr>
                <w:sz w:val="20"/>
                <w:szCs w:val="20"/>
              </w:rPr>
            </w:pPr>
            <w:r>
              <w:rPr>
                <w:sz w:val="20"/>
                <w:szCs w:val="20"/>
              </w:rPr>
              <w:t>Project Duration(Months)</w:t>
            </w:r>
          </w:p>
        </w:tc>
        <w:bookmarkStart w:id="13" w:name="ProjectDuration"/>
        <w:tc>
          <w:tcPr>
            <w:tcW w:w="1121" w:type="pct"/>
          </w:tcPr>
          <w:p w:rsidR="000D5083" w:rsidRDefault="0082156C">
            <w:pPr>
              <w:rPr>
                <w:sz w:val="20"/>
                <w:szCs w:val="20"/>
              </w:rPr>
            </w:pPr>
            <w:r>
              <w:rPr>
                <w:sz w:val="20"/>
                <w:szCs w:val="20"/>
              </w:rPr>
              <w:fldChar w:fldCharType="begin">
                <w:ffData>
                  <w:name w:val="ProjectDuration"/>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60</w:t>
            </w:r>
            <w:r>
              <w:rPr>
                <w:sz w:val="20"/>
                <w:szCs w:val="20"/>
              </w:rPr>
              <w:fldChar w:fldCharType="end"/>
            </w:r>
            <w:bookmarkEnd w:id="13"/>
          </w:p>
        </w:tc>
      </w:tr>
      <w:tr w:rsidR="000D5083">
        <w:tc>
          <w:tcPr>
            <w:tcW w:w="1212" w:type="pct"/>
          </w:tcPr>
          <w:p w:rsidR="000D5083" w:rsidRDefault="000D5083">
            <w:pPr>
              <w:rPr>
                <w:sz w:val="20"/>
                <w:szCs w:val="20"/>
              </w:rPr>
            </w:pPr>
            <w:r>
              <w:rPr>
                <w:sz w:val="20"/>
                <w:szCs w:val="20"/>
              </w:rPr>
              <w:t>Name of parent program (if applicable):</w:t>
            </w:r>
          </w:p>
          <w:p w:rsidR="000D5083" w:rsidRDefault="000D5083">
            <w:pPr>
              <w:numPr>
                <w:ilvl w:val="0"/>
                <w:numId w:val="3"/>
              </w:numPr>
              <w:ind w:left="270" w:hanging="270"/>
              <w:rPr>
                <w:sz w:val="20"/>
                <w:szCs w:val="20"/>
              </w:rPr>
            </w:pPr>
            <w:r>
              <w:rPr>
                <w:sz w:val="20"/>
                <w:szCs w:val="20"/>
              </w:rPr>
              <w:t>For SFM/REDD+</w:t>
            </w:r>
            <w:bookmarkStart w:id="14" w:name="CheckSFM"/>
            <w:r w:rsidR="0082156C">
              <w:rPr>
                <w:sz w:val="20"/>
                <w:szCs w:val="20"/>
              </w:rPr>
              <w:fldChar w:fldCharType="begin">
                <w:ffData>
                  <w:name w:val="CheckSFM"/>
                  <w:enabled/>
                  <w:calcOnExit w:val="0"/>
                  <w:checkBox>
                    <w:sizeAuto/>
                    <w:default w:val="0"/>
                  </w:checkBox>
                </w:ffData>
              </w:fldChar>
            </w:r>
            <w:r>
              <w:rPr>
                <w:sz w:val="20"/>
                <w:szCs w:val="20"/>
              </w:rPr>
              <w:instrText xml:space="preserve"> FORMCHECKBOX </w:instrText>
            </w:r>
            <w:r w:rsidR="0082156C">
              <w:rPr>
                <w:sz w:val="20"/>
                <w:szCs w:val="20"/>
              </w:rPr>
            </w:r>
            <w:r w:rsidR="0082156C">
              <w:rPr>
                <w:sz w:val="20"/>
                <w:szCs w:val="20"/>
              </w:rPr>
              <w:fldChar w:fldCharType="end"/>
            </w:r>
            <w:bookmarkEnd w:id="14"/>
          </w:p>
        </w:tc>
        <w:bookmarkStart w:id="15" w:name="ParentProjectName"/>
        <w:tc>
          <w:tcPr>
            <w:tcW w:w="1505" w:type="pct"/>
          </w:tcPr>
          <w:p w:rsidR="000D5083" w:rsidRDefault="0082156C">
            <w:pPr>
              <w:rPr>
                <w:sz w:val="20"/>
                <w:szCs w:val="20"/>
              </w:rPr>
            </w:pPr>
            <w:r>
              <w:rPr>
                <w:sz w:val="20"/>
                <w:szCs w:val="20"/>
              </w:rPr>
              <w:fldChar w:fldCharType="begin">
                <w:ffData>
                  <w:name w:val="ParentProjectName"/>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
          </w:p>
        </w:tc>
        <w:tc>
          <w:tcPr>
            <w:tcW w:w="1161" w:type="pct"/>
          </w:tcPr>
          <w:p w:rsidR="000D5083" w:rsidRDefault="000D5083">
            <w:pPr>
              <w:rPr>
                <w:sz w:val="20"/>
                <w:szCs w:val="20"/>
              </w:rPr>
            </w:pPr>
            <w:r>
              <w:rPr>
                <w:sz w:val="20"/>
                <w:szCs w:val="20"/>
              </w:rPr>
              <w:t>Agency Fee ($):</w:t>
            </w:r>
          </w:p>
        </w:tc>
        <w:bookmarkStart w:id="16" w:name="agencyFee"/>
        <w:tc>
          <w:tcPr>
            <w:tcW w:w="1121" w:type="pct"/>
          </w:tcPr>
          <w:p w:rsidR="000D5083" w:rsidRDefault="0082156C" w:rsidP="00E61729">
            <w:pPr>
              <w:rPr>
                <w:sz w:val="20"/>
                <w:szCs w:val="20"/>
              </w:rPr>
            </w:pPr>
            <w:r>
              <w:rPr>
                <w:sz w:val="20"/>
                <w:szCs w:val="20"/>
              </w:rPr>
              <w:fldChar w:fldCharType="begin">
                <w:ffData>
                  <w:name w:val="agencyFee"/>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CA070B">
              <w:rPr>
                <w:noProof/>
                <w:sz w:val="20"/>
                <w:szCs w:val="20"/>
              </w:rPr>
              <w:t>388</w:t>
            </w:r>
            <w:r w:rsidR="00E61729">
              <w:rPr>
                <w:noProof/>
                <w:sz w:val="20"/>
                <w:szCs w:val="20"/>
              </w:rPr>
              <w:t>5</w:t>
            </w:r>
            <w:r w:rsidR="000D5083">
              <w:rPr>
                <w:noProof/>
                <w:sz w:val="20"/>
                <w:szCs w:val="20"/>
              </w:rPr>
              <w:t>00</w:t>
            </w:r>
            <w:r>
              <w:rPr>
                <w:sz w:val="20"/>
                <w:szCs w:val="20"/>
              </w:rPr>
              <w:fldChar w:fldCharType="end"/>
            </w:r>
            <w:bookmarkEnd w:id="16"/>
          </w:p>
        </w:tc>
      </w:tr>
    </w:tbl>
    <w:p w:rsidR="000D5083" w:rsidRDefault="000D5083">
      <w:pPr>
        <w:pStyle w:val="Footer"/>
        <w:tabs>
          <w:tab w:val="clear" w:pos="4320"/>
          <w:tab w:val="clear" w:pos="8640"/>
        </w:tabs>
        <w:spacing w:before="240" w:after="80"/>
        <w:ind w:left="-540"/>
        <w:rPr>
          <w:b/>
          <w:bCs/>
          <w:smallCaps/>
        </w:rPr>
      </w:pPr>
      <w:r>
        <w:rPr>
          <w:b/>
          <w:bCs/>
          <w:smallCaps/>
          <w:sz w:val="22"/>
          <w:szCs w:val="22"/>
        </w:rPr>
        <w:t xml:space="preserve">A. </w:t>
      </w:r>
      <w:hyperlink r:id="rId9" w:history="1">
        <w:r>
          <w:rPr>
            <w:rStyle w:val="Hyperlink"/>
            <w:b/>
            <w:bCs/>
            <w:smallCaps/>
            <w:sz w:val="22"/>
            <w:szCs w:val="22"/>
          </w:rPr>
          <w:t>Focal AREA STRATEGYFramework</w:t>
        </w:r>
      </w:hyperlink>
      <w:r>
        <w:rPr>
          <w:rStyle w:val="FootnoteReference"/>
          <w:b/>
          <w:bCs/>
          <w:smallCaps/>
        </w:rPr>
        <w:footnoteReference w:id="3"/>
      </w:r>
      <w:r>
        <w:rPr>
          <w:b/>
          <w:bCs/>
          <w:smallCaps/>
        </w:rPr>
        <w:t>:</w:t>
      </w:r>
    </w:p>
    <w:tbl>
      <w:tblPr>
        <w:tblW w:w="54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2456"/>
        <w:gridCol w:w="2769"/>
        <w:gridCol w:w="917"/>
        <w:gridCol w:w="1561"/>
        <w:gridCol w:w="1409"/>
      </w:tblGrid>
      <w:tr w:rsidR="000D5083">
        <w:trPr>
          <w:trHeight w:val="260"/>
          <w:jc w:val="center"/>
        </w:trPr>
        <w:tc>
          <w:tcPr>
            <w:tcW w:w="745"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Focal Area Objectives</w:t>
            </w:r>
          </w:p>
        </w:tc>
        <w:tc>
          <w:tcPr>
            <w:tcW w:w="1147"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Expected FA Outcomes</w:t>
            </w:r>
          </w:p>
        </w:tc>
        <w:tc>
          <w:tcPr>
            <w:tcW w:w="1293"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Expected FA Outputs</w:t>
            </w:r>
          </w:p>
        </w:tc>
        <w:tc>
          <w:tcPr>
            <w:tcW w:w="428" w:type="pct"/>
            <w:shd w:val="clear" w:color="auto" w:fill="FFFFFF"/>
          </w:tcPr>
          <w:p w:rsidR="000D5083" w:rsidRDefault="000D5083">
            <w:pPr>
              <w:pStyle w:val="Heading3"/>
              <w:jc w:val="center"/>
              <w:rPr>
                <w:color w:val="000000"/>
                <w:sz w:val="20"/>
                <w:szCs w:val="20"/>
              </w:rPr>
            </w:pPr>
            <w:r>
              <w:rPr>
                <w:color w:val="000000"/>
                <w:sz w:val="20"/>
                <w:szCs w:val="20"/>
              </w:rPr>
              <w:t>Trust Fund</w:t>
            </w:r>
          </w:p>
        </w:tc>
        <w:tc>
          <w:tcPr>
            <w:tcW w:w="729" w:type="pct"/>
            <w:shd w:val="clear" w:color="auto" w:fill="FFFFFF"/>
            <w:vAlign w:val="center"/>
          </w:tcPr>
          <w:p w:rsidR="000D5083" w:rsidRDefault="000D5083">
            <w:pPr>
              <w:pStyle w:val="Heading3"/>
              <w:jc w:val="center"/>
              <w:rPr>
                <w:color w:val="000000"/>
                <w:sz w:val="20"/>
                <w:szCs w:val="20"/>
              </w:rPr>
            </w:pPr>
            <w:r>
              <w:rPr>
                <w:color w:val="000000"/>
                <w:sz w:val="20"/>
                <w:szCs w:val="20"/>
              </w:rPr>
              <w:t xml:space="preserve">Indicative </w:t>
            </w:r>
          </w:p>
          <w:p w:rsidR="000D5083" w:rsidRDefault="000D5083">
            <w:pPr>
              <w:pStyle w:val="Heading3"/>
              <w:jc w:val="center"/>
              <w:rPr>
                <w:color w:val="000000"/>
                <w:sz w:val="20"/>
                <w:szCs w:val="20"/>
              </w:rPr>
            </w:pPr>
            <w:r>
              <w:rPr>
                <w:color w:val="000000"/>
                <w:sz w:val="20"/>
                <w:szCs w:val="20"/>
              </w:rPr>
              <w:t>Grant Amount</w:t>
            </w:r>
          </w:p>
          <w:p w:rsidR="000D5083" w:rsidRDefault="000D5083">
            <w:pPr>
              <w:pStyle w:val="Heading3"/>
              <w:jc w:val="center"/>
              <w:rPr>
                <w:color w:val="000000"/>
                <w:sz w:val="20"/>
                <w:szCs w:val="20"/>
              </w:rPr>
            </w:pPr>
            <w:r>
              <w:rPr>
                <w:color w:val="000000"/>
                <w:sz w:val="20"/>
                <w:szCs w:val="20"/>
              </w:rPr>
              <w:t xml:space="preserve">($) </w:t>
            </w:r>
          </w:p>
        </w:tc>
        <w:tc>
          <w:tcPr>
            <w:tcW w:w="658" w:type="pct"/>
            <w:shd w:val="clear" w:color="auto" w:fill="FFFFFF"/>
            <w:vAlign w:val="center"/>
          </w:tcPr>
          <w:p w:rsidR="000D5083" w:rsidRDefault="000D5083">
            <w:pPr>
              <w:pStyle w:val="Heading3"/>
              <w:jc w:val="center"/>
              <w:rPr>
                <w:color w:val="000000"/>
                <w:sz w:val="20"/>
                <w:szCs w:val="20"/>
              </w:rPr>
            </w:pPr>
            <w:r>
              <w:rPr>
                <w:color w:val="000000"/>
                <w:sz w:val="20"/>
                <w:szCs w:val="20"/>
              </w:rPr>
              <w:t>Indicative Co-financing</w:t>
            </w:r>
          </w:p>
          <w:p w:rsidR="000D5083" w:rsidRDefault="000D5083">
            <w:pPr>
              <w:pStyle w:val="Heading3"/>
              <w:jc w:val="center"/>
              <w:rPr>
                <w:color w:val="000000"/>
                <w:sz w:val="20"/>
                <w:szCs w:val="20"/>
              </w:rPr>
            </w:pPr>
            <w:r>
              <w:rPr>
                <w:color w:val="000000"/>
                <w:sz w:val="20"/>
                <w:szCs w:val="20"/>
              </w:rPr>
              <w:t xml:space="preserve">($) </w:t>
            </w:r>
          </w:p>
        </w:tc>
      </w:tr>
      <w:bookmarkStart w:id="17" w:name="focalAreaObj_01"/>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1"/>
                  <w:enabled/>
                  <w:calcOnExit w:val="0"/>
                  <w:ddList>
                    <w:result w:val="2"/>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18" w:name="sec_fa_obj_01"/>
            <w:bookmarkEnd w:id="17"/>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shd w:val="clear" w:color="auto" w:fill="FFFFFF"/>
          </w:tcPr>
          <w:p w:rsidR="000D5083" w:rsidRDefault="0082156C">
            <w:pPr>
              <w:rPr>
                <w:noProof/>
                <w:sz w:val="20"/>
                <w:szCs w:val="20"/>
              </w:rPr>
            </w:pPr>
            <w:r>
              <w:rPr>
                <w:sz w:val="20"/>
                <w:szCs w:val="20"/>
              </w:rPr>
              <w:fldChar w:fldCharType="begin">
                <w:ffData>
                  <w:name w:val="expFAoutcomes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CCM-2: Promote market transformation for energy efficiency in industry and the building sector</w:t>
            </w:r>
          </w:p>
          <w:p w:rsidR="000D5083" w:rsidRDefault="000D5083">
            <w:pPr>
              <w:rPr>
                <w:noProof/>
                <w:sz w:val="20"/>
                <w:szCs w:val="20"/>
              </w:rPr>
            </w:pPr>
            <w:r>
              <w:rPr>
                <w:noProof/>
                <w:sz w:val="20"/>
                <w:szCs w:val="20"/>
              </w:rPr>
              <w:t>OUTCOME 2.1: Appropriate policy, legal and regulatory frameworks adopted and enforced</w:t>
            </w:r>
          </w:p>
          <w:p w:rsidR="000D5083" w:rsidRDefault="000D5083">
            <w:pPr>
              <w:rPr>
                <w:noProof/>
                <w:sz w:val="20"/>
                <w:szCs w:val="20"/>
              </w:rPr>
            </w:pPr>
            <w:r>
              <w:rPr>
                <w:noProof/>
                <w:sz w:val="20"/>
                <w:szCs w:val="20"/>
              </w:rPr>
              <w:t>INDICATOR 2.1: Extent to which EE policies and regulations are adopted and enforced (score of 1 to 5)</w:t>
            </w:r>
          </w:p>
          <w:p w:rsidR="000D5083" w:rsidRDefault="0082156C">
            <w:pPr>
              <w:rPr>
                <w:sz w:val="20"/>
                <w:szCs w:val="20"/>
              </w:rPr>
            </w:pPr>
            <w:r>
              <w:rPr>
                <w:sz w:val="20"/>
                <w:szCs w:val="20"/>
              </w:rPr>
              <w:fldChar w:fldCharType="end"/>
            </w:r>
            <w:bookmarkEnd w:id="19"/>
          </w:p>
        </w:tc>
        <w:bookmarkStart w:id="20" w:name="ExpectedFAOutput_01"/>
        <w:tc>
          <w:tcPr>
            <w:tcW w:w="1293" w:type="pct"/>
            <w:shd w:val="clear" w:color="auto" w:fill="FFFFFF"/>
          </w:tcPr>
          <w:p w:rsidR="000D5083" w:rsidRDefault="0082156C">
            <w:pPr>
              <w:rPr>
                <w:noProof/>
                <w:sz w:val="20"/>
                <w:szCs w:val="20"/>
              </w:rPr>
            </w:pPr>
            <w:r>
              <w:rPr>
                <w:sz w:val="20"/>
                <w:szCs w:val="20"/>
              </w:rPr>
              <w:fldChar w:fldCharType="begin">
                <w:ffData>
                  <w:name w:val="ExpectedFAOutput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Output 2.1: Energy efficiency regulation and guidlines in place</w:t>
            </w:r>
          </w:p>
          <w:p w:rsidR="000D5083" w:rsidRDefault="000D5083">
            <w:pPr>
              <w:rPr>
                <w:noProof/>
                <w:sz w:val="20"/>
                <w:szCs w:val="20"/>
              </w:rPr>
            </w:pPr>
          </w:p>
          <w:p w:rsidR="000D5083" w:rsidRDefault="0082156C">
            <w:pPr>
              <w:rPr>
                <w:sz w:val="20"/>
                <w:szCs w:val="20"/>
              </w:rPr>
            </w:pPr>
            <w:r>
              <w:rPr>
                <w:sz w:val="20"/>
                <w:szCs w:val="20"/>
              </w:rPr>
              <w:fldChar w:fldCharType="end"/>
            </w:r>
            <w:bookmarkEnd w:id="20"/>
          </w:p>
        </w:tc>
        <w:bookmarkStart w:id="21" w:name="A_PPG_TF_01"/>
        <w:tc>
          <w:tcPr>
            <w:tcW w:w="428" w:type="pct"/>
            <w:shd w:val="clear" w:color="auto" w:fill="FFFFFF"/>
          </w:tcPr>
          <w:p w:rsidR="000D5083" w:rsidRDefault="0082156C">
            <w:pPr>
              <w:jc w:val="center"/>
              <w:rPr>
                <w:sz w:val="20"/>
                <w:szCs w:val="20"/>
              </w:rPr>
            </w:pPr>
            <w:r>
              <w:rPr>
                <w:sz w:val="20"/>
                <w:szCs w:val="20"/>
              </w:rPr>
              <w:fldChar w:fldCharType="begin">
                <w:ffData>
                  <w:name w:val="A_PPG_TF_01"/>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21"/>
          </w:p>
        </w:tc>
        <w:bookmarkStart w:id="22" w:name="A_GA_01"/>
        <w:tc>
          <w:tcPr>
            <w:tcW w:w="729" w:type="pct"/>
            <w:shd w:val="clear" w:color="auto" w:fill="FFFFFF"/>
          </w:tcPr>
          <w:p w:rsidR="000D5083" w:rsidRDefault="0082156C" w:rsidP="001240DA">
            <w:pPr>
              <w:jc w:val="right"/>
              <w:rPr>
                <w:sz w:val="20"/>
                <w:szCs w:val="20"/>
              </w:rPr>
            </w:pPr>
            <w:r>
              <w:rPr>
                <w:sz w:val="20"/>
                <w:szCs w:val="20"/>
              </w:rPr>
              <w:fldChar w:fldCharType="begin">
                <w:ffData>
                  <w:name w:val="A_GA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1800000</w:t>
            </w:r>
            <w:r>
              <w:rPr>
                <w:sz w:val="20"/>
                <w:szCs w:val="20"/>
              </w:rPr>
              <w:fldChar w:fldCharType="end"/>
            </w:r>
            <w:bookmarkEnd w:id="22"/>
          </w:p>
        </w:tc>
        <w:bookmarkStart w:id="23" w:name="A_CO_01"/>
        <w:tc>
          <w:tcPr>
            <w:tcW w:w="658" w:type="pct"/>
            <w:shd w:val="clear" w:color="auto" w:fill="FFFFFF"/>
          </w:tcPr>
          <w:p w:rsidR="000D5083" w:rsidRDefault="0082156C">
            <w:pPr>
              <w:jc w:val="right"/>
              <w:rPr>
                <w:sz w:val="20"/>
                <w:szCs w:val="20"/>
              </w:rPr>
            </w:pPr>
            <w:r>
              <w:rPr>
                <w:sz w:val="20"/>
                <w:szCs w:val="20"/>
              </w:rPr>
              <w:fldChar w:fldCharType="begin">
                <w:ffData>
                  <w:name w:val="A_CO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6250000</w:t>
            </w:r>
            <w:r>
              <w:rPr>
                <w:sz w:val="20"/>
                <w:szCs w:val="20"/>
              </w:rPr>
              <w:fldChar w:fldCharType="end"/>
            </w:r>
            <w:bookmarkEnd w:id="23"/>
          </w:p>
        </w:tc>
      </w:tr>
      <w:bookmarkStart w:id="24" w:name="focalAreaObj_02"/>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2"/>
                  <w:enabled/>
                  <w:calcOnExit w:val="0"/>
                  <w:ddList>
                    <w:result w:val="2"/>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25" w:name="sec_fa_obj_02"/>
            <w:bookmarkEnd w:id="24"/>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shd w:val="clear" w:color="auto" w:fill="FFFFFF"/>
          </w:tcPr>
          <w:p w:rsidR="000D5083" w:rsidRDefault="0082156C">
            <w:pPr>
              <w:rPr>
                <w:noProof/>
                <w:sz w:val="20"/>
                <w:szCs w:val="20"/>
              </w:rPr>
            </w:pPr>
            <w:r>
              <w:rPr>
                <w:sz w:val="20"/>
                <w:szCs w:val="20"/>
              </w:rPr>
              <w:fldChar w:fldCharType="begin">
                <w:ffData>
                  <w:name w:val="expFAoutcomes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OUTCOME 2.2: Sustainable financing and delivery mechanisms established and operational</w:t>
            </w:r>
          </w:p>
          <w:p w:rsidR="000D5083" w:rsidRDefault="000D5083">
            <w:pPr>
              <w:rPr>
                <w:sz w:val="20"/>
                <w:szCs w:val="20"/>
              </w:rPr>
            </w:pPr>
            <w:r>
              <w:rPr>
                <w:noProof/>
                <w:sz w:val="20"/>
                <w:szCs w:val="20"/>
              </w:rPr>
              <w:t xml:space="preserve">INDICATOR2.2: Volume </w:t>
            </w:r>
            <w:r>
              <w:rPr>
                <w:noProof/>
                <w:sz w:val="20"/>
                <w:szCs w:val="20"/>
              </w:rPr>
              <w:lastRenderedPageBreak/>
              <w:t xml:space="preserve">of investment mobilized </w:t>
            </w:r>
            <w:r w:rsidR="0082156C">
              <w:rPr>
                <w:sz w:val="20"/>
                <w:szCs w:val="20"/>
              </w:rPr>
              <w:fldChar w:fldCharType="end"/>
            </w:r>
            <w:bookmarkEnd w:id="26"/>
          </w:p>
        </w:tc>
        <w:bookmarkStart w:id="27" w:name="ExpectedFAOutput_02"/>
        <w:tc>
          <w:tcPr>
            <w:tcW w:w="1293" w:type="pct"/>
            <w:shd w:val="clear" w:color="auto" w:fill="FFFFFF"/>
          </w:tcPr>
          <w:p w:rsidR="000D5083" w:rsidRDefault="0082156C">
            <w:pPr>
              <w:rPr>
                <w:noProof/>
                <w:sz w:val="20"/>
                <w:szCs w:val="20"/>
              </w:rPr>
            </w:pPr>
            <w:r>
              <w:rPr>
                <w:sz w:val="20"/>
                <w:szCs w:val="20"/>
              </w:rPr>
              <w:lastRenderedPageBreak/>
              <w:fldChar w:fldCharType="begin">
                <w:ffData>
                  <w:name w:val="ExpectedFAOutput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Output 2.2: Investment mobilized</w:t>
            </w:r>
          </w:p>
          <w:p w:rsidR="000D5083" w:rsidRDefault="000D5083">
            <w:pPr>
              <w:rPr>
                <w:noProof/>
                <w:sz w:val="20"/>
                <w:szCs w:val="20"/>
              </w:rPr>
            </w:pPr>
          </w:p>
          <w:p w:rsidR="000D5083" w:rsidRDefault="000D5083">
            <w:pPr>
              <w:rPr>
                <w:sz w:val="20"/>
                <w:szCs w:val="20"/>
              </w:rPr>
            </w:pPr>
            <w:r>
              <w:rPr>
                <w:noProof/>
                <w:sz w:val="20"/>
                <w:szCs w:val="20"/>
              </w:rPr>
              <w:t>Output 2.3: Energy savings achieved</w:t>
            </w:r>
            <w:r w:rsidR="0082156C">
              <w:rPr>
                <w:sz w:val="20"/>
                <w:szCs w:val="20"/>
              </w:rPr>
              <w:fldChar w:fldCharType="end"/>
            </w:r>
            <w:bookmarkEnd w:id="27"/>
          </w:p>
        </w:tc>
        <w:bookmarkStart w:id="28" w:name="A_PPG_TF_02"/>
        <w:tc>
          <w:tcPr>
            <w:tcW w:w="428" w:type="pct"/>
            <w:shd w:val="clear" w:color="auto" w:fill="FFFFFF"/>
          </w:tcPr>
          <w:p w:rsidR="000D5083" w:rsidRDefault="0082156C">
            <w:pPr>
              <w:jc w:val="center"/>
            </w:pPr>
            <w:r>
              <w:rPr>
                <w:sz w:val="20"/>
                <w:szCs w:val="20"/>
              </w:rPr>
              <w:fldChar w:fldCharType="begin">
                <w:ffData>
                  <w:name w:val="A_PPG_TF_02"/>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28"/>
          </w:p>
        </w:tc>
        <w:bookmarkStart w:id="29" w:name="A_GA_02"/>
        <w:tc>
          <w:tcPr>
            <w:tcW w:w="729" w:type="pct"/>
            <w:shd w:val="clear" w:color="auto" w:fill="FFFFFF"/>
          </w:tcPr>
          <w:p w:rsidR="000D5083" w:rsidRDefault="0082156C" w:rsidP="001240DA">
            <w:pPr>
              <w:jc w:val="right"/>
              <w:rPr>
                <w:sz w:val="20"/>
                <w:szCs w:val="20"/>
              </w:rPr>
            </w:pPr>
            <w:r>
              <w:rPr>
                <w:sz w:val="20"/>
                <w:szCs w:val="20"/>
              </w:rPr>
              <w:fldChar w:fldCharType="begin">
                <w:ffData>
                  <w:name w:val="A_GA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1900000</w:t>
            </w:r>
            <w:r>
              <w:rPr>
                <w:sz w:val="20"/>
                <w:szCs w:val="20"/>
              </w:rPr>
              <w:fldChar w:fldCharType="end"/>
            </w:r>
            <w:bookmarkEnd w:id="29"/>
          </w:p>
        </w:tc>
        <w:bookmarkStart w:id="30" w:name="A_CO_02"/>
        <w:tc>
          <w:tcPr>
            <w:tcW w:w="658" w:type="pct"/>
            <w:shd w:val="clear" w:color="auto" w:fill="FFFFFF"/>
          </w:tcPr>
          <w:p w:rsidR="000D5083" w:rsidRDefault="0082156C">
            <w:pPr>
              <w:jc w:val="right"/>
              <w:rPr>
                <w:sz w:val="20"/>
                <w:szCs w:val="20"/>
              </w:rPr>
            </w:pPr>
            <w:r>
              <w:rPr>
                <w:sz w:val="20"/>
                <w:szCs w:val="20"/>
              </w:rPr>
              <w:fldChar w:fldCharType="begin">
                <w:ffData>
                  <w:name w:val="A_CO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14</w:t>
            </w:r>
            <w:r w:rsidR="0061067E">
              <w:rPr>
                <w:noProof/>
                <w:sz w:val="20"/>
                <w:szCs w:val="20"/>
              </w:rPr>
              <w:t>,</w:t>
            </w:r>
            <w:r w:rsidR="000D5083">
              <w:rPr>
                <w:noProof/>
                <w:sz w:val="20"/>
                <w:szCs w:val="20"/>
              </w:rPr>
              <w:t>000</w:t>
            </w:r>
            <w:r w:rsidR="0061067E">
              <w:rPr>
                <w:noProof/>
                <w:sz w:val="20"/>
                <w:szCs w:val="20"/>
              </w:rPr>
              <w:t>,</w:t>
            </w:r>
            <w:r w:rsidR="000D5083">
              <w:rPr>
                <w:noProof/>
                <w:sz w:val="20"/>
                <w:szCs w:val="20"/>
              </w:rPr>
              <w:t>000</w:t>
            </w:r>
            <w:r>
              <w:rPr>
                <w:sz w:val="20"/>
                <w:szCs w:val="20"/>
              </w:rPr>
              <w:fldChar w:fldCharType="end"/>
            </w:r>
            <w:bookmarkEnd w:id="30"/>
          </w:p>
        </w:tc>
      </w:tr>
      <w:bookmarkStart w:id="31" w:name="focalAreaObj_03"/>
      <w:tr w:rsidR="000D5083">
        <w:trPr>
          <w:jc w:val="center"/>
        </w:trPr>
        <w:tc>
          <w:tcPr>
            <w:tcW w:w="745" w:type="pct"/>
            <w:shd w:val="clear" w:color="auto" w:fill="FFFFFF"/>
          </w:tcPr>
          <w:p w:rsidR="000D5083" w:rsidRDefault="0082156C">
            <w:pPr>
              <w:rPr>
                <w:sz w:val="20"/>
                <w:szCs w:val="20"/>
              </w:rPr>
            </w:pPr>
            <w:r>
              <w:rPr>
                <w:sz w:val="20"/>
                <w:szCs w:val="20"/>
              </w:rPr>
              <w:lastRenderedPageBreak/>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32" w:name="sec_fa_obj_03"/>
            <w:bookmarkEnd w:id="31"/>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32"/>
          </w:p>
        </w:tc>
        <w:bookmarkStart w:id="33" w:name="expFAoutcomes_03"/>
        <w:tc>
          <w:tcPr>
            <w:tcW w:w="1147" w:type="pct"/>
            <w:shd w:val="clear" w:color="auto" w:fill="FFFFFF"/>
          </w:tcPr>
          <w:p w:rsidR="000D5083" w:rsidRDefault="0082156C">
            <w:pPr>
              <w:rPr>
                <w:sz w:val="20"/>
                <w:szCs w:val="20"/>
              </w:rPr>
            </w:pPr>
            <w:r>
              <w:rPr>
                <w:sz w:val="20"/>
                <w:szCs w:val="20"/>
              </w:rPr>
              <w:fldChar w:fldCharType="begin">
                <w:ffData>
                  <w:name w:val="expFAoutcomes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33"/>
          </w:p>
        </w:tc>
        <w:bookmarkStart w:id="34" w:name="ExpectedFAOutput_03"/>
        <w:tc>
          <w:tcPr>
            <w:tcW w:w="1293" w:type="pct"/>
            <w:shd w:val="clear" w:color="auto" w:fill="FFFFFF"/>
          </w:tcPr>
          <w:p w:rsidR="000D5083" w:rsidRDefault="0082156C">
            <w:pPr>
              <w:rPr>
                <w:sz w:val="20"/>
                <w:szCs w:val="20"/>
              </w:rPr>
            </w:pPr>
            <w:r>
              <w:rPr>
                <w:sz w:val="20"/>
                <w:szCs w:val="20"/>
              </w:rPr>
              <w:fldChar w:fldCharType="begin">
                <w:ffData>
                  <w:name w:val="ExpectedFAOutput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34"/>
          </w:p>
        </w:tc>
        <w:bookmarkStart w:id="35" w:name="A_PPG_TF_03"/>
        <w:tc>
          <w:tcPr>
            <w:tcW w:w="428" w:type="pct"/>
            <w:shd w:val="clear" w:color="auto" w:fill="FFFFFF"/>
          </w:tcPr>
          <w:p w:rsidR="000D5083" w:rsidRDefault="0082156C">
            <w:pPr>
              <w:jc w:val="center"/>
            </w:pPr>
            <w:r>
              <w:rPr>
                <w:sz w:val="20"/>
                <w:szCs w:val="20"/>
              </w:rPr>
              <w:fldChar w:fldCharType="begin">
                <w:ffData>
                  <w:name w:val="A_PPG_TF_03"/>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35"/>
          </w:p>
        </w:tc>
        <w:bookmarkStart w:id="36" w:name="A_GA_03"/>
        <w:tc>
          <w:tcPr>
            <w:tcW w:w="729" w:type="pct"/>
            <w:shd w:val="clear" w:color="auto" w:fill="FFFFFF"/>
          </w:tcPr>
          <w:p w:rsidR="000D5083" w:rsidRDefault="0082156C">
            <w:pPr>
              <w:jc w:val="right"/>
              <w:rPr>
                <w:sz w:val="20"/>
                <w:szCs w:val="20"/>
              </w:rPr>
            </w:pPr>
            <w:r>
              <w:rPr>
                <w:sz w:val="20"/>
                <w:szCs w:val="20"/>
              </w:rPr>
              <w:fldChar w:fldCharType="begin">
                <w:ffData>
                  <w:name w:val="A_GA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36"/>
          </w:p>
        </w:tc>
        <w:bookmarkStart w:id="37" w:name="A_CO_03"/>
        <w:tc>
          <w:tcPr>
            <w:tcW w:w="658" w:type="pct"/>
            <w:shd w:val="clear" w:color="auto" w:fill="FFFFFF"/>
          </w:tcPr>
          <w:p w:rsidR="000D5083" w:rsidRDefault="0082156C">
            <w:pPr>
              <w:jc w:val="right"/>
              <w:rPr>
                <w:sz w:val="20"/>
                <w:szCs w:val="20"/>
              </w:rPr>
            </w:pPr>
            <w:r>
              <w:rPr>
                <w:sz w:val="20"/>
                <w:szCs w:val="20"/>
              </w:rPr>
              <w:fldChar w:fldCharType="begin">
                <w:ffData>
                  <w:name w:val="A_CO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37"/>
          </w:p>
        </w:tc>
      </w:tr>
      <w:bookmarkStart w:id="38" w:name="focalAreaObj_04"/>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39" w:name="sec_fa_obj_04"/>
            <w:bookmarkEnd w:id="38"/>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39"/>
          </w:p>
        </w:tc>
        <w:bookmarkStart w:id="40" w:name="expFAoutcomes_04"/>
        <w:tc>
          <w:tcPr>
            <w:tcW w:w="1147" w:type="pct"/>
            <w:shd w:val="clear" w:color="auto" w:fill="FFFFFF"/>
          </w:tcPr>
          <w:p w:rsidR="000D5083" w:rsidRDefault="0082156C">
            <w:pPr>
              <w:rPr>
                <w:sz w:val="20"/>
                <w:szCs w:val="20"/>
              </w:rPr>
            </w:pPr>
            <w:r>
              <w:rPr>
                <w:sz w:val="20"/>
                <w:szCs w:val="20"/>
              </w:rPr>
              <w:fldChar w:fldCharType="begin">
                <w:ffData>
                  <w:name w:val="expFAoutcomes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0"/>
          </w:p>
        </w:tc>
        <w:bookmarkStart w:id="41" w:name="ExpectedFAOutput_04"/>
        <w:tc>
          <w:tcPr>
            <w:tcW w:w="1293" w:type="pct"/>
            <w:shd w:val="clear" w:color="auto" w:fill="FFFFFF"/>
          </w:tcPr>
          <w:p w:rsidR="000D5083" w:rsidRDefault="0082156C">
            <w:pPr>
              <w:rPr>
                <w:sz w:val="20"/>
                <w:szCs w:val="20"/>
              </w:rPr>
            </w:pPr>
            <w:r>
              <w:rPr>
                <w:sz w:val="20"/>
                <w:szCs w:val="20"/>
              </w:rPr>
              <w:fldChar w:fldCharType="begin">
                <w:ffData>
                  <w:name w:val="ExpectedFAOutput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1"/>
          </w:p>
        </w:tc>
        <w:bookmarkStart w:id="42" w:name="A_PPG_TF_04"/>
        <w:tc>
          <w:tcPr>
            <w:tcW w:w="428" w:type="pct"/>
            <w:shd w:val="clear" w:color="auto" w:fill="FFFFFF"/>
          </w:tcPr>
          <w:p w:rsidR="000D5083" w:rsidRDefault="0082156C">
            <w:pPr>
              <w:jc w:val="center"/>
            </w:pPr>
            <w:r>
              <w:rPr>
                <w:sz w:val="20"/>
                <w:szCs w:val="20"/>
              </w:rPr>
              <w:fldChar w:fldCharType="begin">
                <w:ffData>
                  <w:name w:val="A_PPG_TF_04"/>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42"/>
          </w:p>
        </w:tc>
        <w:bookmarkStart w:id="43" w:name="A_GA_04"/>
        <w:tc>
          <w:tcPr>
            <w:tcW w:w="729" w:type="pct"/>
            <w:shd w:val="clear" w:color="auto" w:fill="FFFFFF"/>
          </w:tcPr>
          <w:p w:rsidR="000D5083" w:rsidRDefault="0082156C">
            <w:pPr>
              <w:jc w:val="right"/>
              <w:rPr>
                <w:sz w:val="20"/>
                <w:szCs w:val="20"/>
              </w:rPr>
            </w:pPr>
            <w:r>
              <w:rPr>
                <w:sz w:val="20"/>
                <w:szCs w:val="20"/>
              </w:rPr>
              <w:fldChar w:fldCharType="begin">
                <w:ffData>
                  <w:name w:val="A_GA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3"/>
          </w:p>
        </w:tc>
        <w:bookmarkStart w:id="44" w:name="A_CO_04"/>
        <w:tc>
          <w:tcPr>
            <w:tcW w:w="658" w:type="pct"/>
            <w:shd w:val="clear" w:color="auto" w:fill="FFFFFF"/>
          </w:tcPr>
          <w:p w:rsidR="000D5083" w:rsidRDefault="0082156C">
            <w:pPr>
              <w:jc w:val="right"/>
              <w:rPr>
                <w:sz w:val="20"/>
                <w:szCs w:val="20"/>
              </w:rPr>
            </w:pPr>
            <w:r>
              <w:rPr>
                <w:sz w:val="20"/>
                <w:szCs w:val="20"/>
              </w:rPr>
              <w:fldChar w:fldCharType="begin">
                <w:ffData>
                  <w:name w:val="A_CO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4"/>
          </w:p>
        </w:tc>
      </w:tr>
      <w:bookmarkStart w:id="45" w:name="focalAreaObj_05"/>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46" w:name="sec_fa_obj_05"/>
            <w:bookmarkEnd w:id="4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46"/>
          </w:p>
        </w:tc>
        <w:bookmarkStart w:id="47" w:name="expFAoutcomes_05"/>
        <w:tc>
          <w:tcPr>
            <w:tcW w:w="1147" w:type="pct"/>
            <w:shd w:val="clear" w:color="auto" w:fill="FFFFFF"/>
          </w:tcPr>
          <w:p w:rsidR="000D5083" w:rsidRDefault="0082156C">
            <w:pPr>
              <w:rPr>
                <w:sz w:val="20"/>
                <w:szCs w:val="20"/>
              </w:rPr>
            </w:pPr>
            <w:r>
              <w:rPr>
                <w:sz w:val="20"/>
                <w:szCs w:val="20"/>
              </w:rPr>
              <w:fldChar w:fldCharType="begin">
                <w:ffData>
                  <w:name w:val="expFAoutcomes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7"/>
          </w:p>
        </w:tc>
        <w:bookmarkStart w:id="48" w:name="ExpectedFAOutput_05"/>
        <w:tc>
          <w:tcPr>
            <w:tcW w:w="1293" w:type="pct"/>
            <w:shd w:val="clear" w:color="auto" w:fill="FFFFFF"/>
          </w:tcPr>
          <w:p w:rsidR="000D5083" w:rsidRDefault="0082156C">
            <w:pPr>
              <w:rPr>
                <w:sz w:val="20"/>
                <w:szCs w:val="20"/>
              </w:rPr>
            </w:pPr>
            <w:r>
              <w:rPr>
                <w:sz w:val="20"/>
                <w:szCs w:val="20"/>
              </w:rPr>
              <w:fldChar w:fldCharType="begin">
                <w:ffData>
                  <w:name w:val="ExpectedFAOutput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48"/>
          </w:p>
        </w:tc>
        <w:bookmarkStart w:id="49" w:name="A_PPG_TF_05"/>
        <w:tc>
          <w:tcPr>
            <w:tcW w:w="428" w:type="pct"/>
            <w:shd w:val="clear" w:color="auto" w:fill="FFFFFF"/>
          </w:tcPr>
          <w:p w:rsidR="000D5083" w:rsidRDefault="0082156C">
            <w:pPr>
              <w:jc w:val="center"/>
            </w:pPr>
            <w:r>
              <w:rPr>
                <w:sz w:val="20"/>
                <w:szCs w:val="20"/>
              </w:rPr>
              <w:fldChar w:fldCharType="begin">
                <w:ffData>
                  <w:name w:val="A_PPG_TF_05"/>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49"/>
          </w:p>
        </w:tc>
        <w:bookmarkStart w:id="50" w:name="A_GA_05"/>
        <w:tc>
          <w:tcPr>
            <w:tcW w:w="729" w:type="pct"/>
            <w:shd w:val="clear" w:color="auto" w:fill="FFFFFF"/>
          </w:tcPr>
          <w:p w:rsidR="000D5083" w:rsidRDefault="0082156C">
            <w:pPr>
              <w:jc w:val="right"/>
              <w:rPr>
                <w:sz w:val="20"/>
                <w:szCs w:val="20"/>
              </w:rPr>
            </w:pPr>
            <w:r>
              <w:rPr>
                <w:sz w:val="20"/>
                <w:szCs w:val="20"/>
              </w:rPr>
              <w:fldChar w:fldCharType="begin">
                <w:ffData>
                  <w:name w:val="A_GA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0"/>
          </w:p>
        </w:tc>
        <w:bookmarkStart w:id="51" w:name="A_CO_05"/>
        <w:tc>
          <w:tcPr>
            <w:tcW w:w="658" w:type="pct"/>
            <w:shd w:val="clear" w:color="auto" w:fill="FFFFFF"/>
          </w:tcPr>
          <w:p w:rsidR="000D5083" w:rsidRDefault="0082156C">
            <w:pPr>
              <w:jc w:val="right"/>
              <w:rPr>
                <w:sz w:val="20"/>
                <w:szCs w:val="20"/>
              </w:rPr>
            </w:pPr>
            <w:r>
              <w:rPr>
                <w:sz w:val="20"/>
                <w:szCs w:val="20"/>
              </w:rPr>
              <w:fldChar w:fldCharType="begin">
                <w:ffData>
                  <w:name w:val="A_CO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1"/>
          </w:p>
        </w:tc>
      </w:tr>
      <w:bookmarkStart w:id="52" w:name="focalAreaObj_06"/>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53" w:name="sec_fa_obj_06"/>
            <w:bookmarkEnd w:id="52"/>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53"/>
          </w:p>
        </w:tc>
        <w:bookmarkStart w:id="54" w:name="expFAoutcomes_06"/>
        <w:tc>
          <w:tcPr>
            <w:tcW w:w="1147" w:type="pct"/>
            <w:shd w:val="clear" w:color="auto" w:fill="FFFFFF"/>
          </w:tcPr>
          <w:p w:rsidR="000D5083" w:rsidRDefault="0082156C">
            <w:pPr>
              <w:rPr>
                <w:sz w:val="20"/>
                <w:szCs w:val="20"/>
              </w:rPr>
            </w:pPr>
            <w:r>
              <w:rPr>
                <w:sz w:val="20"/>
                <w:szCs w:val="20"/>
              </w:rPr>
              <w:fldChar w:fldCharType="begin">
                <w:ffData>
                  <w:name w:val="expFAoutcomes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4"/>
          </w:p>
        </w:tc>
        <w:bookmarkStart w:id="55" w:name="ExpectedFAOutput_06"/>
        <w:tc>
          <w:tcPr>
            <w:tcW w:w="1293" w:type="pct"/>
            <w:shd w:val="clear" w:color="auto" w:fill="FFFFFF"/>
          </w:tcPr>
          <w:p w:rsidR="000D5083" w:rsidRDefault="0082156C">
            <w:pPr>
              <w:rPr>
                <w:sz w:val="20"/>
                <w:szCs w:val="20"/>
              </w:rPr>
            </w:pPr>
            <w:r>
              <w:rPr>
                <w:sz w:val="20"/>
                <w:szCs w:val="20"/>
              </w:rPr>
              <w:fldChar w:fldCharType="begin">
                <w:ffData>
                  <w:name w:val="ExpectedFAOutput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5"/>
          </w:p>
        </w:tc>
        <w:bookmarkStart w:id="56" w:name="A_PPG_TF_06"/>
        <w:tc>
          <w:tcPr>
            <w:tcW w:w="428" w:type="pct"/>
            <w:shd w:val="clear" w:color="auto" w:fill="FFFFFF"/>
          </w:tcPr>
          <w:p w:rsidR="000D5083" w:rsidRDefault="0082156C">
            <w:pPr>
              <w:jc w:val="center"/>
            </w:pPr>
            <w:r>
              <w:rPr>
                <w:sz w:val="20"/>
                <w:szCs w:val="20"/>
              </w:rPr>
              <w:fldChar w:fldCharType="begin">
                <w:ffData>
                  <w:name w:val="A_PPG_TF_06"/>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56"/>
          </w:p>
        </w:tc>
        <w:bookmarkStart w:id="57" w:name="A_GA_06"/>
        <w:tc>
          <w:tcPr>
            <w:tcW w:w="729" w:type="pct"/>
            <w:shd w:val="clear" w:color="auto" w:fill="FFFFFF"/>
          </w:tcPr>
          <w:p w:rsidR="000D5083" w:rsidRDefault="0082156C">
            <w:pPr>
              <w:jc w:val="right"/>
              <w:rPr>
                <w:sz w:val="20"/>
                <w:szCs w:val="20"/>
              </w:rPr>
            </w:pPr>
            <w:r>
              <w:rPr>
                <w:sz w:val="20"/>
                <w:szCs w:val="20"/>
              </w:rPr>
              <w:fldChar w:fldCharType="begin">
                <w:ffData>
                  <w:name w:val="A_GA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7"/>
          </w:p>
        </w:tc>
        <w:bookmarkStart w:id="58" w:name="A_CO_06"/>
        <w:tc>
          <w:tcPr>
            <w:tcW w:w="658" w:type="pct"/>
            <w:shd w:val="clear" w:color="auto" w:fill="FFFFFF"/>
          </w:tcPr>
          <w:p w:rsidR="000D5083" w:rsidRDefault="0082156C">
            <w:pPr>
              <w:jc w:val="right"/>
              <w:rPr>
                <w:sz w:val="20"/>
                <w:szCs w:val="20"/>
              </w:rPr>
            </w:pPr>
            <w:r>
              <w:rPr>
                <w:sz w:val="20"/>
                <w:szCs w:val="20"/>
              </w:rPr>
              <w:fldChar w:fldCharType="begin">
                <w:ffData>
                  <w:name w:val="A_CO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58"/>
          </w:p>
        </w:tc>
      </w:tr>
      <w:bookmarkStart w:id="59" w:name="focalAreaObj_07"/>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60" w:name="sec_fa_obj_07"/>
            <w:bookmarkEnd w:id="59"/>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60"/>
          </w:p>
        </w:tc>
        <w:bookmarkStart w:id="61" w:name="expFAoutcomes_07"/>
        <w:tc>
          <w:tcPr>
            <w:tcW w:w="1147" w:type="pct"/>
            <w:shd w:val="clear" w:color="auto" w:fill="FFFFFF"/>
          </w:tcPr>
          <w:p w:rsidR="000D5083" w:rsidRDefault="0082156C">
            <w:pPr>
              <w:rPr>
                <w:sz w:val="20"/>
                <w:szCs w:val="20"/>
              </w:rPr>
            </w:pPr>
            <w:r>
              <w:rPr>
                <w:sz w:val="20"/>
                <w:szCs w:val="20"/>
              </w:rPr>
              <w:fldChar w:fldCharType="begin">
                <w:ffData>
                  <w:name w:val="expFAoutcomes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1"/>
          </w:p>
        </w:tc>
        <w:bookmarkStart w:id="62" w:name="ExpectedFAOutput_07"/>
        <w:tc>
          <w:tcPr>
            <w:tcW w:w="1293" w:type="pct"/>
            <w:shd w:val="clear" w:color="auto" w:fill="FFFFFF"/>
          </w:tcPr>
          <w:p w:rsidR="000D5083" w:rsidRDefault="0082156C">
            <w:pPr>
              <w:rPr>
                <w:sz w:val="20"/>
                <w:szCs w:val="20"/>
              </w:rPr>
            </w:pPr>
            <w:r>
              <w:rPr>
                <w:sz w:val="20"/>
                <w:szCs w:val="20"/>
              </w:rPr>
              <w:fldChar w:fldCharType="begin">
                <w:ffData>
                  <w:name w:val="ExpectedFAOutput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2"/>
          </w:p>
        </w:tc>
        <w:bookmarkStart w:id="63" w:name="A_PPG_TF_07"/>
        <w:tc>
          <w:tcPr>
            <w:tcW w:w="428" w:type="pct"/>
            <w:shd w:val="clear" w:color="auto" w:fill="FFFFFF"/>
          </w:tcPr>
          <w:p w:rsidR="000D5083" w:rsidRDefault="0082156C">
            <w:pPr>
              <w:jc w:val="center"/>
            </w:pPr>
            <w:r>
              <w:rPr>
                <w:sz w:val="20"/>
                <w:szCs w:val="20"/>
              </w:rPr>
              <w:fldChar w:fldCharType="begin">
                <w:ffData>
                  <w:name w:val="A_PPG_TF_07"/>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63"/>
          </w:p>
        </w:tc>
        <w:bookmarkStart w:id="64" w:name="A_GA_07"/>
        <w:tc>
          <w:tcPr>
            <w:tcW w:w="729" w:type="pct"/>
            <w:shd w:val="clear" w:color="auto" w:fill="FFFFFF"/>
          </w:tcPr>
          <w:p w:rsidR="000D5083" w:rsidRDefault="0082156C">
            <w:pPr>
              <w:jc w:val="right"/>
              <w:rPr>
                <w:sz w:val="20"/>
                <w:szCs w:val="20"/>
              </w:rPr>
            </w:pPr>
            <w:r>
              <w:rPr>
                <w:sz w:val="20"/>
                <w:szCs w:val="20"/>
              </w:rPr>
              <w:fldChar w:fldCharType="begin">
                <w:ffData>
                  <w:name w:val="A_GA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4"/>
          </w:p>
        </w:tc>
        <w:bookmarkStart w:id="65" w:name="A_CO_07"/>
        <w:tc>
          <w:tcPr>
            <w:tcW w:w="658" w:type="pct"/>
            <w:shd w:val="clear" w:color="auto" w:fill="FFFFFF"/>
          </w:tcPr>
          <w:p w:rsidR="000D5083" w:rsidRDefault="0082156C">
            <w:pPr>
              <w:jc w:val="right"/>
              <w:rPr>
                <w:sz w:val="20"/>
                <w:szCs w:val="20"/>
              </w:rPr>
            </w:pPr>
            <w:r>
              <w:rPr>
                <w:sz w:val="20"/>
                <w:szCs w:val="20"/>
              </w:rPr>
              <w:fldChar w:fldCharType="begin">
                <w:ffData>
                  <w:name w:val="A_CO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5"/>
          </w:p>
        </w:tc>
      </w:tr>
      <w:bookmarkStart w:id="66" w:name="focalAreaObj_08"/>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67" w:name="sec_fa_obj_08"/>
            <w:bookmarkEnd w:id="66"/>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67"/>
          </w:p>
        </w:tc>
        <w:bookmarkStart w:id="68" w:name="expFAoutcomes_08"/>
        <w:tc>
          <w:tcPr>
            <w:tcW w:w="1147" w:type="pct"/>
            <w:shd w:val="clear" w:color="auto" w:fill="FFFFFF"/>
          </w:tcPr>
          <w:p w:rsidR="000D5083" w:rsidRDefault="0082156C">
            <w:pPr>
              <w:rPr>
                <w:sz w:val="20"/>
                <w:szCs w:val="20"/>
              </w:rPr>
            </w:pPr>
            <w:r>
              <w:rPr>
                <w:sz w:val="20"/>
                <w:szCs w:val="20"/>
              </w:rPr>
              <w:fldChar w:fldCharType="begin">
                <w:ffData>
                  <w:name w:val="expFAoutcomes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8"/>
          </w:p>
        </w:tc>
        <w:bookmarkStart w:id="69" w:name="ExpectedFAOutput_08"/>
        <w:tc>
          <w:tcPr>
            <w:tcW w:w="1293" w:type="pct"/>
            <w:shd w:val="clear" w:color="auto" w:fill="FFFFFF"/>
          </w:tcPr>
          <w:p w:rsidR="000D5083" w:rsidRDefault="0082156C">
            <w:pPr>
              <w:rPr>
                <w:sz w:val="20"/>
                <w:szCs w:val="20"/>
              </w:rPr>
            </w:pPr>
            <w:r>
              <w:rPr>
                <w:sz w:val="20"/>
                <w:szCs w:val="20"/>
              </w:rPr>
              <w:fldChar w:fldCharType="begin">
                <w:ffData>
                  <w:name w:val="ExpectedFAOutput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69"/>
          </w:p>
        </w:tc>
        <w:bookmarkStart w:id="70" w:name="A_PPG_TF_08"/>
        <w:tc>
          <w:tcPr>
            <w:tcW w:w="428" w:type="pct"/>
            <w:shd w:val="clear" w:color="auto" w:fill="FFFFFF"/>
          </w:tcPr>
          <w:p w:rsidR="000D5083" w:rsidRDefault="0082156C">
            <w:pPr>
              <w:jc w:val="center"/>
            </w:pPr>
            <w:r>
              <w:rPr>
                <w:sz w:val="20"/>
                <w:szCs w:val="20"/>
              </w:rPr>
              <w:fldChar w:fldCharType="begin">
                <w:ffData>
                  <w:name w:val="A_PPG_TF_08"/>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70"/>
          </w:p>
        </w:tc>
        <w:bookmarkStart w:id="71" w:name="A_GA_08"/>
        <w:tc>
          <w:tcPr>
            <w:tcW w:w="729" w:type="pct"/>
            <w:shd w:val="clear" w:color="auto" w:fill="FFFFFF"/>
          </w:tcPr>
          <w:p w:rsidR="000D5083" w:rsidRDefault="0082156C">
            <w:pPr>
              <w:jc w:val="right"/>
              <w:rPr>
                <w:sz w:val="20"/>
                <w:szCs w:val="20"/>
              </w:rPr>
            </w:pPr>
            <w:r>
              <w:rPr>
                <w:sz w:val="20"/>
                <w:szCs w:val="20"/>
              </w:rPr>
              <w:fldChar w:fldCharType="begin">
                <w:ffData>
                  <w:name w:val="A_GA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1"/>
          </w:p>
        </w:tc>
        <w:bookmarkStart w:id="72" w:name="A_CO_08"/>
        <w:tc>
          <w:tcPr>
            <w:tcW w:w="658" w:type="pct"/>
            <w:shd w:val="clear" w:color="auto" w:fill="FFFFFF"/>
          </w:tcPr>
          <w:p w:rsidR="000D5083" w:rsidRDefault="0082156C">
            <w:pPr>
              <w:jc w:val="right"/>
              <w:rPr>
                <w:sz w:val="20"/>
                <w:szCs w:val="20"/>
              </w:rPr>
            </w:pPr>
            <w:r>
              <w:rPr>
                <w:sz w:val="20"/>
                <w:szCs w:val="20"/>
              </w:rPr>
              <w:fldChar w:fldCharType="begin">
                <w:ffData>
                  <w:name w:val="A_CO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2"/>
          </w:p>
        </w:tc>
      </w:tr>
      <w:bookmarkStart w:id="73" w:name="focalAreaObj_09"/>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74" w:name="sec_fa_obj_09"/>
            <w:bookmarkEnd w:id="73"/>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74"/>
          </w:p>
        </w:tc>
        <w:bookmarkStart w:id="75" w:name="expFAoutcomes_09"/>
        <w:tc>
          <w:tcPr>
            <w:tcW w:w="1147" w:type="pct"/>
            <w:shd w:val="clear" w:color="auto" w:fill="FFFFFF"/>
          </w:tcPr>
          <w:p w:rsidR="000D5083" w:rsidRDefault="0082156C">
            <w:pPr>
              <w:rPr>
                <w:sz w:val="20"/>
                <w:szCs w:val="20"/>
              </w:rPr>
            </w:pPr>
            <w:r>
              <w:rPr>
                <w:sz w:val="20"/>
                <w:szCs w:val="20"/>
              </w:rPr>
              <w:fldChar w:fldCharType="begin">
                <w:ffData>
                  <w:name w:val="expFAoutcomes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5"/>
          </w:p>
        </w:tc>
        <w:bookmarkStart w:id="76" w:name="ExpectedFAOutput_09"/>
        <w:tc>
          <w:tcPr>
            <w:tcW w:w="1293" w:type="pct"/>
            <w:shd w:val="clear" w:color="auto" w:fill="FFFFFF"/>
          </w:tcPr>
          <w:p w:rsidR="000D5083" w:rsidRDefault="0082156C">
            <w:pPr>
              <w:rPr>
                <w:sz w:val="20"/>
                <w:szCs w:val="20"/>
              </w:rPr>
            </w:pPr>
            <w:r>
              <w:rPr>
                <w:sz w:val="20"/>
                <w:szCs w:val="20"/>
              </w:rPr>
              <w:fldChar w:fldCharType="begin">
                <w:ffData>
                  <w:name w:val="ExpectedFAOutput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6"/>
          </w:p>
        </w:tc>
        <w:bookmarkStart w:id="77" w:name="A_PPG_TF_09"/>
        <w:tc>
          <w:tcPr>
            <w:tcW w:w="428" w:type="pct"/>
            <w:shd w:val="clear" w:color="auto" w:fill="FFFFFF"/>
          </w:tcPr>
          <w:p w:rsidR="000D5083" w:rsidRDefault="0082156C">
            <w:pPr>
              <w:jc w:val="center"/>
            </w:pPr>
            <w:r>
              <w:rPr>
                <w:sz w:val="20"/>
                <w:szCs w:val="20"/>
              </w:rPr>
              <w:fldChar w:fldCharType="begin">
                <w:ffData>
                  <w:name w:val="A_PPG_TF_09"/>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77"/>
          </w:p>
        </w:tc>
        <w:bookmarkStart w:id="78" w:name="A_GA_09"/>
        <w:tc>
          <w:tcPr>
            <w:tcW w:w="729" w:type="pct"/>
            <w:shd w:val="clear" w:color="auto" w:fill="FFFFFF"/>
          </w:tcPr>
          <w:p w:rsidR="000D5083" w:rsidRDefault="0082156C">
            <w:pPr>
              <w:jc w:val="right"/>
              <w:rPr>
                <w:sz w:val="20"/>
                <w:szCs w:val="20"/>
              </w:rPr>
            </w:pPr>
            <w:r>
              <w:rPr>
                <w:sz w:val="20"/>
                <w:szCs w:val="20"/>
              </w:rPr>
              <w:fldChar w:fldCharType="begin">
                <w:ffData>
                  <w:name w:val="A_GA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8"/>
          </w:p>
        </w:tc>
        <w:bookmarkStart w:id="79" w:name="A_CO_09"/>
        <w:tc>
          <w:tcPr>
            <w:tcW w:w="658" w:type="pct"/>
            <w:shd w:val="clear" w:color="auto" w:fill="FFFFFF"/>
          </w:tcPr>
          <w:p w:rsidR="000D5083" w:rsidRDefault="0082156C">
            <w:pPr>
              <w:jc w:val="right"/>
              <w:rPr>
                <w:sz w:val="20"/>
                <w:szCs w:val="20"/>
              </w:rPr>
            </w:pPr>
            <w:r>
              <w:rPr>
                <w:sz w:val="20"/>
                <w:szCs w:val="20"/>
              </w:rPr>
              <w:fldChar w:fldCharType="begin">
                <w:ffData>
                  <w:name w:val="A_CO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79"/>
          </w:p>
        </w:tc>
      </w:tr>
      <w:bookmarkStart w:id="80" w:name="focalAreaObj_010"/>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81" w:name="sec_fa_obj_010"/>
            <w:bookmarkEnd w:id="8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81"/>
          </w:p>
        </w:tc>
        <w:bookmarkStart w:id="82" w:name="expFAoutcomes_010"/>
        <w:tc>
          <w:tcPr>
            <w:tcW w:w="1147" w:type="pct"/>
            <w:shd w:val="clear" w:color="auto" w:fill="FFFFFF"/>
          </w:tcPr>
          <w:p w:rsidR="000D5083" w:rsidRDefault="0082156C">
            <w:pPr>
              <w:rPr>
                <w:sz w:val="20"/>
                <w:szCs w:val="20"/>
              </w:rPr>
            </w:pPr>
            <w:r>
              <w:rPr>
                <w:sz w:val="20"/>
                <w:szCs w:val="20"/>
              </w:rPr>
              <w:fldChar w:fldCharType="begin">
                <w:ffData>
                  <w:name w:val="expFAoutcomes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82"/>
          </w:p>
        </w:tc>
        <w:bookmarkStart w:id="83" w:name="ExpectedFAOutput_010"/>
        <w:tc>
          <w:tcPr>
            <w:tcW w:w="1293" w:type="pct"/>
            <w:shd w:val="clear" w:color="auto" w:fill="FFFFFF"/>
          </w:tcPr>
          <w:p w:rsidR="000D5083" w:rsidRDefault="0082156C">
            <w:pPr>
              <w:rPr>
                <w:sz w:val="20"/>
                <w:szCs w:val="20"/>
              </w:rPr>
            </w:pPr>
            <w:r>
              <w:rPr>
                <w:sz w:val="20"/>
                <w:szCs w:val="20"/>
              </w:rPr>
              <w:fldChar w:fldCharType="begin">
                <w:ffData>
                  <w:name w:val="ExpectedFAOutput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83"/>
          </w:p>
        </w:tc>
        <w:bookmarkStart w:id="84" w:name="A_PPG_TF_010"/>
        <w:tc>
          <w:tcPr>
            <w:tcW w:w="428" w:type="pct"/>
            <w:shd w:val="clear" w:color="auto" w:fill="FFFFFF"/>
          </w:tcPr>
          <w:p w:rsidR="000D5083" w:rsidRDefault="0082156C">
            <w:pPr>
              <w:jc w:val="center"/>
            </w:pPr>
            <w:r>
              <w:rPr>
                <w:sz w:val="20"/>
                <w:szCs w:val="20"/>
              </w:rPr>
              <w:fldChar w:fldCharType="begin">
                <w:ffData>
                  <w:name w:val="A_PPG_TF_010"/>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84"/>
          </w:p>
        </w:tc>
        <w:bookmarkStart w:id="85" w:name="A_GA_010"/>
        <w:tc>
          <w:tcPr>
            <w:tcW w:w="729" w:type="pct"/>
            <w:shd w:val="clear" w:color="auto" w:fill="FFFFFF"/>
          </w:tcPr>
          <w:p w:rsidR="000D5083" w:rsidRDefault="0082156C">
            <w:pPr>
              <w:jc w:val="right"/>
              <w:rPr>
                <w:sz w:val="20"/>
                <w:szCs w:val="20"/>
              </w:rPr>
            </w:pPr>
            <w:r>
              <w:rPr>
                <w:sz w:val="20"/>
                <w:szCs w:val="20"/>
              </w:rPr>
              <w:fldChar w:fldCharType="begin">
                <w:ffData>
                  <w:name w:val="A_GA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85"/>
          </w:p>
        </w:tc>
        <w:bookmarkStart w:id="86" w:name="A_CO_010"/>
        <w:tc>
          <w:tcPr>
            <w:tcW w:w="658" w:type="pct"/>
            <w:shd w:val="clear" w:color="auto" w:fill="FFFFFF"/>
          </w:tcPr>
          <w:p w:rsidR="000D5083" w:rsidRDefault="0082156C">
            <w:pPr>
              <w:jc w:val="right"/>
              <w:rPr>
                <w:sz w:val="20"/>
                <w:szCs w:val="20"/>
              </w:rPr>
            </w:pPr>
            <w:r>
              <w:rPr>
                <w:sz w:val="20"/>
                <w:szCs w:val="20"/>
              </w:rPr>
              <w:fldChar w:fldCharType="begin">
                <w:ffData>
                  <w:name w:val="A_CO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86"/>
          </w:p>
        </w:tc>
      </w:tr>
      <w:bookmarkStart w:id="87" w:name="focalAreaObj_011"/>
      <w:tr w:rsidR="000D5083">
        <w:trPr>
          <w:jc w:val="center"/>
        </w:trPr>
        <w:tc>
          <w:tcPr>
            <w:tcW w:w="745" w:type="pct"/>
            <w:shd w:val="clear" w:color="auto" w:fill="FFFFFF"/>
          </w:tcPr>
          <w:p w:rsidR="000D5083" w:rsidRDefault="0082156C">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0D5083">
              <w:rPr>
                <w:sz w:val="20"/>
                <w:szCs w:val="20"/>
              </w:rPr>
              <w:instrText xml:space="preserve"> FORMDROPDOWN </w:instrText>
            </w:r>
            <w:r>
              <w:rPr>
                <w:sz w:val="20"/>
                <w:szCs w:val="20"/>
              </w:rPr>
            </w:r>
            <w:r>
              <w:rPr>
                <w:sz w:val="20"/>
                <w:szCs w:val="20"/>
              </w:rPr>
              <w:fldChar w:fldCharType="end"/>
            </w:r>
            <w:bookmarkStart w:id="88" w:name="sec_fa_obj_011"/>
            <w:bookmarkEnd w:id="87"/>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0D5083">
              <w:rPr>
                <w:sz w:val="20"/>
                <w:szCs w:val="20"/>
              </w:rPr>
              <w:instrText xml:space="preserve"> FORMDROPDOWN </w:instrText>
            </w:r>
            <w:r>
              <w:rPr>
                <w:sz w:val="20"/>
                <w:szCs w:val="20"/>
              </w:rPr>
            </w:r>
            <w:r>
              <w:rPr>
                <w:sz w:val="20"/>
                <w:szCs w:val="20"/>
              </w:rPr>
              <w:fldChar w:fldCharType="end"/>
            </w:r>
            <w:bookmarkEnd w:id="88"/>
          </w:p>
        </w:tc>
        <w:tc>
          <w:tcPr>
            <w:tcW w:w="1147" w:type="pct"/>
            <w:shd w:val="clear" w:color="auto" w:fill="FFFFFF"/>
          </w:tcPr>
          <w:p w:rsidR="000D5083" w:rsidRDefault="000D5083">
            <w:pPr>
              <w:rPr>
                <w:sz w:val="20"/>
                <w:szCs w:val="20"/>
              </w:rPr>
            </w:pPr>
            <w:r>
              <w:rPr>
                <w:sz w:val="20"/>
                <w:szCs w:val="20"/>
              </w:rPr>
              <w:t>Others</w:t>
            </w:r>
          </w:p>
        </w:tc>
        <w:bookmarkStart w:id="89" w:name="ExpectedFAOutput_011"/>
        <w:tc>
          <w:tcPr>
            <w:tcW w:w="1293" w:type="pct"/>
            <w:shd w:val="clear" w:color="auto" w:fill="FFFFFF"/>
          </w:tcPr>
          <w:p w:rsidR="000D5083" w:rsidRDefault="0082156C">
            <w:pPr>
              <w:rPr>
                <w:sz w:val="20"/>
                <w:szCs w:val="20"/>
              </w:rPr>
            </w:pPr>
            <w:r>
              <w:rPr>
                <w:sz w:val="20"/>
                <w:szCs w:val="20"/>
              </w:rPr>
              <w:fldChar w:fldCharType="begin">
                <w:ffData>
                  <w:name w:val="ExpectedFAOutput_01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89"/>
          </w:p>
        </w:tc>
        <w:bookmarkStart w:id="90" w:name="A_PPG_TF_011"/>
        <w:tc>
          <w:tcPr>
            <w:tcW w:w="428" w:type="pct"/>
            <w:shd w:val="clear" w:color="auto" w:fill="FFFFFF"/>
          </w:tcPr>
          <w:p w:rsidR="000D5083" w:rsidRDefault="0082156C">
            <w:pPr>
              <w:jc w:val="center"/>
            </w:pPr>
            <w:r>
              <w:rPr>
                <w:sz w:val="20"/>
                <w:szCs w:val="20"/>
              </w:rPr>
              <w:fldChar w:fldCharType="begin">
                <w:ffData>
                  <w:name w:val="A_PPG_TF_011"/>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90"/>
          </w:p>
        </w:tc>
        <w:bookmarkStart w:id="91" w:name="A_GA_011"/>
        <w:tc>
          <w:tcPr>
            <w:tcW w:w="729" w:type="pct"/>
            <w:shd w:val="clear" w:color="auto" w:fill="FFFFFF"/>
          </w:tcPr>
          <w:p w:rsidR="000D5083" w:rsidRDefault="0082156C">
            <w:pPr>
              <w:jc w:val="right"/>
              <w:rPr>
                <w:sz w:val="20"/>
                <w:szCs w:val="20"/>
              </w:rPr>
            </w:pPr>
            <w:r>
              <w:rPr>
                <w:sz w:val="20"/>
                <w:szCs w:val="20"/>
              </w:rPr>
              <w:fldChar w:fldCharType="begin">
                <w:ffData>
                  <w:name w:val="A_GA_01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91"/>
          </w:p>
        </w:tc>
        <w:bookmarkStart w:id="92" w:name="A_CO_011"/>
        <w:tc>
          <w:tcPr>
            <w:tcW w:w="658" w:type="pct"/>
            <w:shd w:val="clear" w:color="auto" w:fill="FFFFFF"/>
          </w:tcPr>
          <w:p w:rsidR="000D5083" w:rsidRDefault="0082156C">
            <w:pPr>
              <w:jc w:val="right"/>
              <w:rPr>
                <w:sz w:val="20"/>
                <w:szCs w:val="20"/>
              </w:rPr>
            </w:pPr>
            <w:r>
              <w:rPr>
                <w:sz w:val="20"/>
                <w:szCs w:val="20"/>
              </w:rPr>
              <w:fldChar w:fldCharType="begin">
                <w:ffData>
                  <w:name w:val="A_CO_01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92"/>
          </w:p>
        </w:tc>
      </w:tr>
      <w:tr w:rsidR="000D5083">
        <w:trPr>
          <w:jc w:val="center"/>
        </w:trPr>
        <w:tc>
          <w:tcPr>
            <w:tcW w:w="3185" w:type="pct"/>
            <w:gridSpan w:val="3"/>
            <w:tcBorders>
              <w:bottom w:val="double" w:sz="4" w:space="0" w:color="auto"/>
            </w:tcBorders>
            <w:shd w:val="clear" w:color="auto" w:fill="FFFFFF"/>
          </w:tcPr>
          <w:p w:rsidR="000D5083" w:rsidRDefault="000D5083">
            <w:pPr>
              <w:jc w:val="right"/>
              <w:rPr>
                <w:sz w:val="20"/>
                <w:szCs w:val="20"/>
              </w:rPr>
            </w:pPr>
            <w:r>
              <w:rPr>
                <w:sz w:val="20"/>
                <w:szCs w:val="20"/>
              </w:rPr>
              <w:t>Sub-Total</w:t>
            </w:r>
          </w:p>
        </w:tc>
        <w:tc>
          <w:tcPr>
            <w:tcW w:w="428" w:type="pct"/>
            <w:shd w:val="clear" w:color="auto" w:fill="FFFFFF"/>
          </w:tcPr>
          <w:p w:rsidR="000D5083" w:rsidRDefault="000D5083">
            <w:pPr>
              <w:jc w:val="right"/>
              <w:rPr>
                <w:sz w:val="20"/>
                <w:szCs w:val="20"/>
              </w:rPr>
            </w:pPr>
          </w:p>
        </w:tc>
        <w:bookmarkStart w:id="93" w:name="SUBTOT_GA"/>
        <w:tc>
          <w:tcPr>
            <w:tcW w:w="729" w:type="pct"/>
            <w:shd w:val="clear" w:color="auto" w:fill="FFFFFF"/>
          </w:tcPr>
          <w:p w:rsidR="000D5083" w:rsidRDefault="0082156C">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010,A_GA_011)"/>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=sum(A_GA_01,A_GA_02,A_GA_03,A_GA_04,A_GA_05,A_GA_06,A_GA_07,A_GA_08,A_GA_09,A_GA_010,A_GA_011) </w:instrText>
            </w:r>
            <w:r>
              <w:rPr>
                <w:sz w:val="20"/>
                <w:szCs w:val="20"/>
              </w:rPr>
              <w:fldChar w:fldCharType="separate"/>
            </w:r>
            <w:r w:rsidR="0061067E">
              <w:rPr>
                <w:noProof/>
                <w:sz w:val="20"/>
                <w:szCs w:val="20"/>
              </w:rPr>
              <w:instrText>3700000</w:instrText>
            </w:r>
            <w:r>
              <w:rPr>
                <w:sz w:val="20"/>
                <w:szCs w:val="20"/>
              </w:rPr>
              <w:fldChar w:fldCharType="end"/>
            </w:r>
            <w:r>
              <w:rPr>
                <w:sz w:val="20"/>
                <w:szCs w:val="20"/>
              </w:rPr>
            </w:r>
            <w:r>
              <w:rPr>
                <w:sz w:val="20"/>
                <w:szCs w:val="20"/>
              </w:rPr>
              <w:fldChar w:fldCharType="separate"/>
            </w:r>
            <w:r w:rsidR="0061067E">
              <w:rPr>
                <w:noProof/>
                <w:sz w:val="20"/>
                <w:szCs w:val="20"/>
              </w:rPr>
              <w:t>3700000</w:t>
            </w:r>
            <w:r>
              <w:rPr>
                <w:sz w:val="20"/>
                <w:szCs w:val="20"/>
              </w:rPr>
              <w:fldChar w:fldCharType="end"/>
            </w:r>
            <w:bookmarkEnd w:id="93"/>
          </w:p>
        </w:tc>
        <w:bookmarkStart w:id="94" w:name="SUBTOT_COFIN"/>
        <w:tc>
          <w:tcPr>
            <w:tcW w:w="658" w:type="pct"/>
            <w:shd w:val="clear" w:color="auto" w:fill="FFFFFF"/>
          </w:tcPr>
          <w:p w:rsidR="000D5083" w:rsidRDefault="0082156C">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010,A_CO_011)"/>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=sum(A_CO_01,A_CO_02,A_CO_03,A_CO_04,A_CO_05,A_CO_06,A_CO_07,A_CO_08,A_CO_09,A_CO_010,A_CO_011) </w:instrText>
            </w:r>
            <w:r>
              <w:rPr>
                <w:sz w:val="20"/>
                <w:szCs w:val="20"/>
              </w:rPr>
              <w:fldChar w:fldCharType="separate"/>
            </w:r>
            <w:r w:rsidR="0061067E">
              <w:rPr>
                <w:noProof/>
                <w:sz w:val="20"/>
                <w:szCs w:val="20"/>
              </w:rPr>
              <w:instrText>20,250,000</w:instrText>
            </w:r>
            <w:r>
              <w:rPr>
                <w:sz w:val="20"/>
                <w:szCs w:val="20"/>
              </w:rPr>
              <w:fldChar w:fldCharType="end"/>
            </w:r>
            <w:r>
              <w:rPr>
                <w:sz w:val="20"/>
                <w:szCs w:val="20"/>
              </w:rPr>
            </w:r>
            <w:r>
              <w:rPr>
                <w:sz w:val="20"/>
                <w:szCs w:val="20"/>
              </w:rPr>
              <w:fldChar w:fldCharType="separate"/>
            </w:r>
            <w:r w:rsidR="0061067E">
              <w:rPr>
                <w:noProof/>
                <w:sz w:val="20"/>
                <w:szCs w:val="20"/>
              </w:rPr>
              <w:t>20,250,000</w:t>
            </w:r>
            <w:r>
              <w:rPr>
                <w:sz w:val="20"/>
                <w:szCs w:val="20"/>
              </w:rPr>
              <w:fldChar w:fldCharType="end"/>
            </w:r>
            <w:bookmarkEnd w:id="94"/>
          </w:p>
        </w:tc>
      </w:tr>
      <w:tr w:rsidR="000D5083">
        <w:trPr>
          <w:jc w:val="center"/>
        </w:trPr>
        <w:tc>
          <w:tcPr>
            <w:tcW w:w="3185" w:type="pct"/>
            <w:gridSpan w:val="3"/>
            <w:tcBorders>
              <w:top w:val="double" w:sz="4" w:space="0" w:color="auto"/>
              <w:bottom w:val="double" w:sz="4" w:space="0" w:color="auto"/>
            </w:tcBorders>
            <w:shd w:val="clear" w:color="auto" w:fill="FFFFFF"/>
          </w:tcPr>
          <w:p w:rsidR="000D5083" w:rsidRDefault="000D5083">
            <w:pPr>
              <w:jc w:val="right"/>
              <w:rPr>
                <w:sz w:val="20"/>
                <w:szCs w:val="20"/>
              </w:rPr>
            </w:pPr>
            <w:r>
              <w:rPr>
                <w:sz w:val="22"/>
                <w:szCs w:val="22"/>
              </w:rPr>
              <w:t>Project Management Cost</w:t>
            </w:r>
            <w:r>
              <w:rPr>
                <w:rStyle w:val="FootnoteReference"/>
                <w:sz w:val="22"/>
                <w:szCs w:val="22"/>
              </w:rPr>
              <w:footnoteReference w:id="4"/>
            </w:r>
          </w:p>
        </w:tc>
        <w:bookmarkStart w:id="95" w:name="B_proj_mgmt_TFType"/>
        <w:tc>
          <w:tcPr>
            <w:tcW w:w="428" w:type="pct"/>
            <w:tcBorders>
              <w:top w:val="double" w:sz="4" w:space="0" w:color="auto"/>
              <w:bottom w:val="double" w:sz="4" w:space="0" w:color="auto"/>
            </w:tcBorders>
            <w:shd w:val="clear" w:color="auto" w:fill="FFFFFF"/>
          </w:tcPr>
          <w:p w:rsidR="000D5083" w:rsidRDefault="0082156C">
            <w:pPr>
              <w:jc w:val="center"/>
            </w:pPr>
            <w:r>
              <w:rPr>
                <w:sz w:val="20"/>
                <w:szCs w:val="20"/>
              </w:rPr>
              <w:fldChar w:fldCharType="begin">
                <w:ffData>
                  <w:name w:val="B_proj_mgmt_TFType"/>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95"/>
          </w:p>
        </w:tc>
        <w:bookmarkStart w:id="96" w:name="A_ProjMgmt_GA"/>
        <w:tc>
          <w:tcPr>
            <w:tcW w:w="729" w:type="pct"/>
            <w:tcBorders>
              <w:bottom w:val="double" w:sz="4" w:space="0" w:color="auto"/>
            </w:tcBorders>
            <w:shd w:val="clear" w:color="auto" w:fill="FFFFFF"/>
          </w:tcPr>
          <w:p w:rsidR="000D5083" w:rsidRDefault="0082156C" w:rsidP="001240DA">
            <w:pPr>
              <w:jc w:val="right"/>
              <w:rPr>
                <w:b/>
                <w:bCs/>
                <w:sz w:val="20"/>
                <w:szCs w:val="20"/>
              </w:rPr>
            </w:pPr>
            <w:r>
              <w:rPr>
                <w:b/>
                <w:bCs/>
                <w:sz w:val="20"/>
                <w:szCs w:val="20"/>
              </w:rPr>
              <w:fldChar w:fldCharType="begin">
                <w:ffData>
                  <w:name w:val="A_ProjMgmt_GA"/>
                  <w:enabled/>
                  <w:calcOnExit/>
                  <w:textInput>
                    <w:type w:val="number"/>
                  </w:textInput>
                </w:ffData>
              </w:fldChar>
            </w:r>
            <w:r w:rsidR="000D5083">
              <w:rPr>
                <w:b/>
                <w:bCs/>
                <w:sz w:val="20"/>
                <w:szCs w:val="20"/>
              </w:rPr>
              <w:instrText xml:space="preserve"> FORMTEXT </w:instrText>
            </w:r>
            <w:r>
              <w:rPr>
                <w:b/>
                <w:bCs/>
                <w:sz w:val="20"/>
                <w:szCs w:val="20"/>
              </w:rPr>
            </w:r>
            <w:r>
              <w:rPr>
                <w:b/>
                <w:bCs/>
                <w:sz w:val="20"/>
                <w:szCs w:val="20"/>
              </w:rPr>
              <w:fldChar w:fldCharType="separate"/>
            </w:r>
            <w:r w:rsidR="001240DA">
              <w:rPr>
                <w:b/>
                <w:bCs/>
                <w:noProof/>
                <w:sz w:val="20"/>
                <w:szCs w:val="20"/>
              </w:rPr>
              <w:t>185000</w:t>
            </w:r>
            <w:r>
              <w:rPr>
                <w:b/>
                <w:bCs/>
                <w:sz w:val="20"/>
                <w:szCs w:val="20"/>
              </w:rPr>
              <w:fldChar w:fldCharType="end"/>
            </w:r>
            <w:bookmarkEnd w:id="96"/>
          </w:p>
        </w:tc>
        <w:bookmarkStart w:id="97" w:name="A_projMgmtCO"/>
        <w:tc>
          <w:tcPr>
            <w:tcW w:w="658" w:type="pct"/>
            <w:tcBorders>
              <w:bottom w:val="double" w:sz="4" w:space="0" w:color="auto"/>
            </w:tcBorders>
            <w:shd w:val="clear" w:color="auto" w:fill="FFFFFF"/>
          </w:tcPr>
          <w:p w:rsidR="000D5083" w:rsidRDefault="0082156C">
            <w:pPr>
              <w:jc w:val="right"/>
              <w:rPr>
                <w:sz w:val="20"/>
                <w:szCs w:val="20"/>
              </w:rPr>
            </w:pPr>
            <w:r>
              <w:rPr>
                <w:sz w:val="20"/>
                <w:szCs w:val="20"/>
              </w:rPr>
              <w:fldChar w:fldCharType="begin">
                <w:ffData>
                  <w:name w:val="A_projMgmtCO"/>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1000000</w:t>
            </w:r>
            <w:r>
              <w:rPr>
                <w:sz w:val="20"/>
                <w:szCs w:val="20"/>
              </w:rPr>
              <w:fldChar w:fldCharType="end"/>
            </w:r>
            <w:bookmarkEnd w:id="97"/>
          </w:p>
        </w:tc>
      </w:tr>
      <w:tr w:rsidR="000D5083">
        <w:trPr>
          <w:jc w:val="center"/>
        </w:trPr>
        <w:tc>
          <w:tcPr>
            <w:tcW w:w="3185" w:type="pct"/>
            <w:gridSpan w:val="3"/>
            <w:tcBorders>
              <w:top w:val="double" w:sz="4" w:space="0" w:color="auto"/>
              <w:bottom w:val="double" w:sz="4" w:space="0" w:color="auto"/>
            </w:tcBorders>
            <w:shd w:val="clear" w:color="auto" w:fill="FFFFFF"/>
          </w:tcPr>
          <w:p w:rsidR="000D5083" w:rsidRDefault="000D5083">
            <w:pPr>
              <w:jc w:val="right"/>
              <w:rPr>
                <w:sz w:val="20"/>
                <w:szCs w:val="20"/>
              </w:rPr>
            </w:pPr>
            <w:r>
              <w:rPr>
                <w:b/>
                <w:bCs/>
                <w:sz w:val="22"/>
                <w:szCs w:val="22"/>
              </w:rPr>
              <w:t>Total Project Cost</w:t>
            </w:r>
          </w:p>
        </w:tc>
        <w:tc>
          <w:tcPr>
            <w:tcW w:w="428" w:type="pct"/>
            <w:tcBorders>
              <w:top w:val="double" w:sz="4" w:space="0" w:color="auto"/>
              <w:bottom w:val="double" w:sz="4" w:space="0" w:color="auto"/>
            </w:tcBorders>
            <w:shd w:val="clear" w:color="auto" w:fill="FFFFFF"/>
          </w:tcPr>
          <w:p w:rsidR="000D5083" w:rsidRDefault="000D5083">
            <w:pPr>
              <w:jc w:val="right"/>
              <w:rPr>
                <w:sz w:val="20"/>
                <w:szCs w:val="20"/>
              </w:rPr>
            </w:pPr>
          </w:p>
        </w:tc>
        <w:bookmarkStart w:id="98" w:name="totalProjCostGA"/>
        <w:tc>
          <w:tcPr>
            <w:tcW w:w="729" w:type="pct"/>
            <w:tcBorders>
              <w:top w:val="double" w:sz="4" w:space="0" w:color="auto"/>
              <w:bottom w:val="double" w:sz="4" w:space="0" w:color="auto"/>
            </w:tcBorders>
            <w:shd w:val="clear" w:color="auto" w:fill="FFFFFF"/>
          </w:tcPr>
          <w:p w:rsidR="000D5083" w:rsidRDefault="0082156C">
            <w:pPr>
              <w:jc w:val="right"/>
              <w:rPr>
                <w:sz w:val="20"/>
                <w:szCs w:val="20"/>
              </w:rPr>
            </w:pPr>
            <w:r>
              <w:rPr>
                <w:sz w:val="20"/>
                <w:szCs w:val="20"/>
              </w:rPr>
              <w:fldChar w:fldCharType="begin">
                <w:ffData>
                  <w:name w:val="totalProjCostGA"/>
                  <w:enabled w:val="0"/>
                  <w:calcOnExit/>
                  <w:textInput>
                    <w:type w:val="calculated"/>
                    <w:default w:val="=SUM(SUBTOT_GA,A_ProjMgmt_GA)"/>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=SUM(SUBTOT_GA,A_ProjMgmt_GA) </w:instrText>
            </w:r>
            <w:r>
              <w:rPr>
                <w:sz w:val="20"/>
                <w:szCs w:val="20"/>
              </w:rPr>
              <w:fldChar w:fldCharType="separate"/>
            </w:r>
            <w:r w:rsidR="0061067E">
              <w:rPr>
                <w:noProof/>
                <w:sz w:val="20"/>
                <w:szCs w:val="20"/>
              </w:rPr>
              <w:instrText>3885000</w:instrText>
            </w:r>
            <w:r>
              <w:rPr>
                <w:sz w:val="20"/>
                <w:szCs w:val="20"/>
              </w:rPr>
              <w:fldChar w:fldCharType="end"/>
            </w:r>
            <w:r>
              <w:rPr>
                <w:sz w:val="20"/>
                <w:szCs w:val="20"/>
              </w:rPr>
            </w:r>
            <w:r>
              <w:rPr>
                <w:sz w:val="20"/>
                <w:szCs w:val="20"/>
              </w:rPr>
              <w:fldChar w:fldCharType="separate"/>
            </w:r>
            <w:r w:rsidR="0061067E">
              <w:rPr>
                <w:noProof/>
                <w:sz w:val="20"/>
                <w:szCs w:val="20"/>
              </w:rPr>
              <w:t>3885000</w:t>
            </w:r>
            <w:r>
              <w:rPr>
                <w:sz w:val="20"/>
                <w:szCs w:val="20"/>
              </w:rPr>
              <w:fldChar w:fldCharType="end"/>
            </w:r>
            <w:bookmarkEnd w:id="98"/>
          </w:p>
        </w:tc>
        <w:bookmarkStart w:id="99" w:name="totalProjCostCOFIN"/>
        <w:tc>
          <w:tcPr>
            <w:tcW w:w="658" w:type="pct"/>
            <w:tcBorders>
              <w:top w:val="double" w:sz="4" w:space="0" w:color="auto"/>
              <w:bottom w:val="double" w:sz="4" w:space="0" w:color="auto"/>
            </w:tcBorders>
            <w:shd w:val="clear" w:color="auto" w:fill="FFFFFF"/>
          </w:tcPr>
          <w:p w:rsidR="000D5083" w:rsidRDefault="0082156C">
            <w:pPr>
              <w:jc w:val="right"/>
              <w:rPr>
                <w:sz w:val="20"/>
                <w:szCs w:val="20"/>
              </w:rPr>
            </w:pPr>
            <w:r>
              <w:rPr>
                <w:sz w:val="20"/>
                <w:szCs w:val="20"/>
              </w:rPr>
              <w:fldChar w:fldCharType="begin">
                <w:ffData>
                  <w:name w:val="totalProjCostCOFIN"/>
                  <w:enabled w:val="0"/>
                  <w:calcOnExit/>
                  <w:textInput>
                    <w:type w:val="calculated"/>
                    <w:default w:val="=SUM(SUBTOT_COFIN,A_projMgmtCO)"/>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=SUM(SUBTOT_COFIN,A_projMgmtCO) </w:instrText>
            </w:r>
            <w:r>
              <w:rPr>
                <w:sz w:val="20"/>
                <w:szCs w:val="20"/>
              </w:rPr>
              <w:fldChar w:fldCharType="separate"/>
            </w:r>
            <w:r w:rsidR="0061067E">
              <w:rPr>
                <w:noProof/>
                <w:sz w:val="20"/>
                <w:szCs w:val="20"/>
              </w:rPr>
              <w:instrText>21,250,000</w:instrText>
            </w:r>
            <w:r>
              <w:rPr>
                <w:sz w:val="20"/>
                <w:szCs w:val="20"/>
              </w:rPr>
              <w:fldChar w:fldCharType="end"/>
            </w:r>
            <w:r>
              <w:rPr>
                <w:sz w:val="20"/>
                <w:szCs w:val="20"/>
              </w:rPr>
            </w:r>
            <w:r>
              <w:rPr>
                <w:sz w:val="20"/>
                <w:szCs w:val="20"/>
              </w:rPr>
              <w:fldChar w:fldCharType="separate"/>
            </w:r>
            <w:r w:rsidR="0061067E">
              <w:rPr>
                <w:noProof/>
                <w:sz w:val="20"/>
                <w:szCs w:val="20"/>
              </w:rPr>
              <w:t>21,250,000</w:t>
            </w:r>
            <w:r>
              <w:rPr>
                <w:sz w:val="20"/>
                <w:szCs w:val="20"/>
              </w:rPr>
              <w:fldChar w:fldCharType="end"/>
            </w:r>
            <w:bookmarkEnd w:id="99"/>
          </w:p>
        </w:tc>
      </w:tr>
    </w:tbl>
    <w:p w:rsidR="000D5083" w:rsidRDefault="000D5083">
      <w:pPr>
        <w:pStyle w:val="Footer"/>
        <w:numPr>
          <w:ilvl w:val="0"/>
          <w:numId w:val="4"/>
        </w:numPr>
        <w:tabs>
          <w:tab w:val="clear" w:pos="4320"/>
          <w:tab w:val="clear" w:pos="8640"/>
        </w:tabs>
        <w:spacing w:before="240" w:after="80"/>
        <w:ind w:hanging="1350"/>
        <w:rPr>
          <w:b/>
          <w:bCs/>
          <w:smallCaps/>
          <w:sz w:val="22"/>
          <w:szCs w:val="22"/>
        </w:rPr>
      </w:pPr>
      <w:r>
        <w:rPr>
          <w:b/>
          <w:bCs/>
          <w:smallCaps/>
          <w:sz w:val="22"/>
          <w:szCs w:val="22"/>
        </w:rPr>
        <w:t>Project Framework</w:t>
      </w:r>
    </w:p>
    <w:tbl>
      <w:tblPr>
        <w:tblW w:w="55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6"/>
        <w:gridCol w:w="871"/>
        <w:gridCol w:w="2152"/>
        <w:gridCol w:w="2479"/>
        <w:gridCol w:w="44"/>
        <w:gridCol w:w="781"/>
        <w:gridCol w:w="1290"/>
        <w:gridCol w:w="1368"/>
      </w:tblGrid>
      <w:tr w:rsidR="000D5083">
        <w:trPr>
          <w:trHeight w:val="260"/>
          <w:jc w:val="center"/>
        </w:trPr>
        <w:tc>
          <w:tcPr>
            <w:tcW w:w="5000" w:type="pct"/>
            <w:gridSpan w:val="8"/>
            <w:shd w:val="clear" w:color="auto" w:fill="FFFFFF"/>
          </w:tcPr>
          <w:p w:rsidR="000D5083" w:rsidRDefault="000D5083">
            <w:pPr>
              <w:pStyle w:val="Heading3"/>
              <w:rPr>
                <w:color w:val="000000"/>
                <w:sz w:val="20"/>
                <w:szCs w:val="20"/>
              </w:rPr>
            </w:pPr>
            <w:r>
              <w:rPr>
                <w:color w:val="000000"/>
                <w:sz w:val="20"/>
                <w:szCs w:val="20"/>
              </w:rPr>
              <w:t xml:space="preserve">Project Objective: </w:t>
            </w:r>
            <w:bookmarkStart w:id="100" w:name="projObj"/>
            <w:r w:rsidR="0082156C">
              <w:rPr>
                <w:color w:val="000000"/>
                <w:sz w:val="20"/>
                <w:szCs w:val="20"/>
              </w:rPr>
              <w:fldChar w:fldCharType="begin">
                <w:ffData>
                  <w:name w:val="projObj"/>
                  <w:enabled/>
                  <w:calcOnExit w:val="0"/>
                  <w:textInput/>
                </w:ffData>
              </w:fldChar>
            </w:r>
            <w:r>
              <w:rPr>
                <w:color w:val="000000"/>
                <w:sz w:val="20"/>
                <w:szCs w:val="20"/>
              </w:rPr>
              <w:instrText xml:space="preserve"> FORMTEXT </w:instrText>
            </w:r>
            <w:r w:rsidR="0082156C">
              <w:rPr>
                <w:color w:val="000000"/>
                <w:sz w:val="20"/>
                <w:szCs w:val="20"/>
              </w:rPr>
            </w:r>
            <w:r w:rsidR="0082156C">
              <w:rPr>
                <w:color w:val="000000"/>
                <w:sz w:val="20"/>
                <w:szCs w:val="20"/>
              </w:rPr>
              <w:fldChar w:fldCharType="separate"/>
            </w:r>
            <w:r>
              <w:rPr>
                <w:noProof/>
                <w:color w:val="000000"/>
                <w:sz w:val="20"/>
                <w:szCs w:val="20"/>
              </w:rPr>
              <w:t>Strengthen the energy efficiency road maps defined for the building sector and promote expansion of investment in EE technologies/design in the housing, public and tourism building sub-sectors.</w:t>
            </w:r>
            <w:r w:rsidR="0082156C">
              <w:rPr>
                <w:color w:val="000000"/>
                <w:sz w:val="20"/>
                <w:szCs w:val="20"/>
              </w:rPr>
              <w:fldChar w:fldCharType="end"/>
            </w:r>
            <w:bookmarkEnd w:id="100"/>
          </w:p>
        </w:tc>
      </w:tr>
      <w:tr w:rsidR="000D5083">
        <w:trPr>
          <w:trHeight w:val="260"/>
          <w:jc w:val="center"/>
        </w:trPr>
        <w:tc>
          <w:tcPr>
            <w:tcW w:w="883"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Project Component</w:t>
            </w:r>
          </w:p>
        </w:tc>
        <w:tc>
          <w:tcPr>
            <w:tcW w:w="399"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Grant Type</w:t>
            </w:r>
          </w:p>
          <w:p w:rsidR="000D5083" w:rsidRDefault="000D5083">
            <w:pPr>
              <w:pStyle w:val="Heading3"/>
              <w:ind w:left="72"/>
              <w:jc w:val="center"/>
              <w:rPr>
                <w:color w:val="000000"/>
                <w:sz w:val="20"/>
                <w:szCs w:val="20"/>
              </w:rPr>
            </w:pPr>
          </w:p>
        </w:tc>
        <w:tc>
          <w:tcPr>
            <w:tcW w:w="986"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Expected Outcomes</w:t>
            </w:r>
          </w:p>
        </w:tc>
        <w:tc>
          <w:tcPr>
            <w:tcW w:w="1136" w:type="pct"/>
            <w:shd w:val="clear" w:color="auto" w:fill="FFFFFF"/>
            <w:vAlign w:val="center"/>
          </w:tcPr>
          <w:p w:rsidR="000D5083" w:rsidRDefault="000D5083">
            <w:pPr>
              <w:pStyle w:val="Heading3"/>
              <w:ind w:left="72"/>
              <w:jc w:val="center"/>
              <w:rPr>
                <w:color w:val="000000"/>
                <w:sz w:val="20"/>
                <w:szCs w:val="20"/>
              </w:rPr>
            </w:pPr>
            <w:r>
              <w:rPr>
                <w:color w:val="000000"/>
                <w:sz w:val="20"/>
                <w:szCs w:val="20"/>
              </w:rPr>
              <w:t>Expected Outputs</w:t>
            </w:r>
          </w:p>
        </w:tc>
        <w:tc>
          <w:tcPr>
            <w:tcW w:w="378" w:type="pct"/>
            <w:gridSpan w:val="2"/>
            <w:shd w:val="clear" w:color="auto" w:fill="FFFFFF"/>
          </w:tcPr>
          <w:p w:rsidR="000D5083" w:rsidRDefault="000D5083">
            <w:pPr>
              <w:pStyle w:val="Heading3"/>
              <w:jc w:val="center"/>
              <w:rPr>
                <w:color w:val="000000"/>
                <w:sz w:val="20"/>
                <w:szCs w:val="20"/>
              </w:rPr>
            </w:pPr>
            <w:r>
              <w:rPr>
                <w:color w:val="000000"/>
                <w:sz w:val="20"/>
                <w:szCs w:val="20"/>
              </w:rPr>
              <w:t>Trust Fund</w:t>
            </w:r>
          </w:p>
        </w:tc>
        <w:tc>
          <w:tcPr>
            <w:tcW w:w="591" w:type="pct"/>
            <w:shd w:val="clear" w:color="auto" w:fill="FFFFFF"/>
          </w:tcPr>
          <w:p w:rsidR="000D5083" w:rsidRDefault="000D5083">
            <w:pPr>
              <w:pStyle w:val="Heading3"/>
              <w:jc w:val="center"/>
              <w:rPr>
                <w:color w:val="000000"/>
                <w:sz w:val="20"/>
                <w:szCs w:val="20"/>
              </w:rPr>
            </w:pPr>
            <w:r>
              <w:rPr>
                <w:color w:val="000000"/>
                <w:sz w:val="20"/>
                <w:szCs w:val="20"/>
              </w:rPr>
              <w:t xml:space="preserve">Indicative </w:t>
            </w:r>
          </w:p>
          <w:p w:rsidR="000D5083" w:rsidRDefault="000D5083">
            <w:pPr>
              <w:pStyle w:val="Heading3"/>
              <w:jc w:val="center"/>
              <w:rPr>
                <w:b w:val="0"/>
                <w:bCs w:val="0"/>
                <w:color w:val="000000"/>
                <w:sz w:val="20"/>
                <w:szCs w:val="20"/>
              </w:rPr>
            </w:pPr>
            <w:r>
              <w:rPr>
                <w:color w:val="000000"/>
                <w:sz w:val="20"/>
                <w:szCs w:val="20"/>
              </w:rPr>
              <w:t xml:space="preserve">Grant Amount ($) </w:t>
            </w:r>
          </w:p>
        </w:tc>
        <w:tc>
          <w:tcPr>
            <w:tcW w:w="627" w:type="pct"/>
            <w:shd w:val="clear" w:color="auto" w:fill="FFFFFF"/>
          </w:tcPr>
          <w:p w:rsidR="000D5083" w:rsidRDefault="000D5083">
            <w:pPr>
              <w:pStyle w:val="Heading3"/>
              <w:jc w:val="center"/>
              <w:rPr>
                <w:color w:val="000000"/>
                <w:sz w:val="20"/>
                <w:szCs w:val="20"/>
              </w:rPr>
            </w:pPr>
            <w:r>
              <w:rPr>
                <w:color w:val="000000"/>
                <w:sz w:val="20"/>
                <w:szCs w:val="20"/>
              </w:rPr>
              <w:t>Indicative Cofinancing</w:t>
            </w:r>
          </w:p>
          <w:p w:rsidR="000D5083" w:rsidRDefault="000D5083">
            <w:pPr>
              <w:pStyle w:val="Heading3"/>
              <w:jc w:val="center"/>
              <w:rPr>
                <w:b w:val="0"/>
                <w:bCs w:val="0"/>
                <w:color w:val="000000"/>
                <w:sz w:val="20"/>
                <w:szCs w:val="20"/>
              </w:rPr>
            </w:pPr>
            <w:r>
              <w:rPr>
                <w:color w:val="000000"/>
                <w:sz w:val="20"/>
                <w:szCs w:val="20"/>
              </w:rPr>
              <w:t xml:space="preserve">($) </w:t>
            </w:r>
          </w:p>
        </w:tc>
      </w:tr>
      <w:bookmarkStart w:id="101" w:name="projComp_01"/>
      <w:tr w:rsidR="000D5083">
        <w:trPr>
          <w:jc w:val="center"/>
        </w:trPr>
        <w:tc>
          <w:tcPr>
            <w:tcW w:w="883" w:type="pct"/>
            <w:shd w:val="clear" w:color="auto" w:fill="FFFFFF"/>
          </w:tcPr>
          <w:p w:rsidR="000D5083" w:rsidRDefault="0082156C" w:rsidP="00024EDF">
            <w:pPr>
              <w:rPr>
                <w:sz w:val="20"/>
                <w:szCs w:val="20"/>
              </w:rPr>
            </w:pPr>
            <w:r>
              <w:rPr>
                <w:sz w:val="20"/>
                <w:szCs w:val="20"/>
              </w:rPr>
              <w:fldChar w:fldCharType="begin">
                <w:ffData>
                  <w:name w:val="projComp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 Establish an assessment and monitoring system for</w:t>
            </w:r>
            <w:r w:rsidR="00024EDF">
              <w:rPr>
                <w:noProof/>
                <w:sz w:val="20"/>
                <w:szCs w:val="20"/>
              </w:rPr>
              <w:t xml:space="preserve"> </w:t>
            </w:r>
            <w:r w:rsidR="00024EDF" w:rsidRPr="00024EDF">
              <w:rPr>
                <w:noProof/>
                <w:sz w:val="20"/>
                <w:szCs w:val="20"/>
              </w:rPr>
              <w:t>Energy Efficiency Road Maps for the  building sector (focused on small island tropical environments)</w:t>
            </w:r>
            <w:r w:rsidR="000D5083">
              <w:rPr>
                <w:noProof/>
                <w:sz w:val="20"/>
                <w:szCs w:val="20"/>
              </w:rPr>
              <w:t xml:space="preserve"> </w:t>
            </w:r>
            <w:r>
              <w:rPr>
                <w:sz w:val="20"/>
                <w:szCs w:val="20"/>
              </w:rPr>
              <w:fldChar w:fldCharType="end"/>
            </w:r>
            <w:bookmarkEnd w:id="101"/>
          </w:p>
        </w:tc>
        <w:bookmarkStart w:id="102" w:name="GrantType_01"/>
        <w:tc>
          <w:tcPr>
            <w:tcW w:w="399" w:type="pct"/>
            <w:shd w:val="clear" w:color="auto" w:fill="FFFFFF"/>
          </w:tcPr>
          <w:p w:rsidR="000D5083" w:rsidRDefault="0082156C">
            <w:pPr>
              <w:rPr>
                <w:sz w:val="20"/>
                <w:szCs w:val="20"/>
              </w:rPr>
            </w:pPr>
            <w:r>
              <w:rPr>
                <w:sz w:val="20"/>
                <w:szCs w:val="20"/>
              </w:rPr>
              <w:fldChar w:fldCharType="begin">
                <w:ffData>
                  <w:name w:val="GrantType_01"/>
                  <w:enabled/>
                  <w:calcOnExit w:val="0"/>
                  <w:ddList>
                    <w:result w:val="1"/>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02"/>
          </w:p>
        </w:tc>
        <w:bookmarkStart w:id="103" w:name="ExpectedOutCome_01"/>
        <w:tc>
          <w:tcPr>
            <w:tcW w:w="986" w:type="pct"/>
            <w:shd w:val="clear" w:color="auto" w:fill="FFFFFF"/>
          </w:tcPr>
          <w:p w:rsidR="000D5083" w:rsidRDefault="0082156C">
            <w:pPr>
              <w:rPr>
                <w:noProof/>
                <w:sz w:val="20"/>
                <w:szCs w:val="20"/>
              </w:rPr>
            </w:pPr>
            <w:r>
              <w:rPr>
                <w:sz w:val="20"/>
                <w:szCs w:val="20"/>
              </w:rPr>
              <w:fldChar w:fldCharType="begin">
                <w:ffData>
                  <w:name w:val="ExpectedOutCome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Capacity for continual improvement established</w:t>
            </w:r>
            <w:r w:rsidR="00024EDF">
              <w:rPr>
                <w:noProof/>
                <w:sz w:val="20"/>
                <w:szCs w:val="20"/>
              </w:rPr>
              <w:t xml:space="preserve">; </w:t>
            </w:r>
            <w:r w:rsidR="00024EDF" w:rsidRPr="00024EDF">
              <w:rPr>
                <w:noProof/>
                <w:sz w:val="20"/>
                <w:szCs w:val="20"/>
              </w:rPr>
              <w:t>; EE Roadmaps for building sector updated and firmed-up</w:t>
            </w:r>
          </w:p>
          <w:p w:rsidR="000D5083" w:rsidRDefault="000D5083">
            <w:pPr>
              <w:rPr>
                <w:noProof/>
                <w:sz w:val="20"/>
                <w:szCs w:val="20"/>
              </w:rPr>
            </w:pPr>
            <w:r>
              <w:rPr>
                <w:noProof/>
                <w:sz w:val="20"/>
                <w:szCs w:val="20"/>
              </w:rPr>
              <w:t>• Opportunities and target potentials for de-carbonizing energy use in (households, government, tourism-oriented) buildings determined</w:t>
            </w:r>
          </w:p>
          <w:p w:rsidR="000D5083" w:rsidRDefault="000D5083">
            <w:pPr>
              <w:rPr>
                <w:noProof/>
                <w:sz w:val="20"/>
                <w:szCs w:val="20"/>
              </w:rPr>
            </w:pPr>
            <w:r>
              <w:rPr>
                <w:noProof/>
                <w:sz w:val="20"/>
                <w:szCs w:val="20"/>
              </w:rPr>
              <w:t>• Potential savings in replacement of street and other outdoor area lighting with EE lighting systems determined</w:t>
            </w:r>
          </w:p>
          <w:p w:rsidR="000D5083" w:rsidRDefault="000D5083">
            <w:pPr>
              <w:rPr>
                <w:sz w:val="20"/>
                <w:szCs w:val="20"/>
              </w:rPr>
            </w:pPr>
            <w:r>
              <w:rPr>
                <w:noProof/>
                <w:sz w:val="20"/>
                <w:szCs w:val="20"/>
              </w:rPr>
              <w:t>• Baseline projection and monitoring system able to track and feedback on progress</w:t>
            </w:r>
            <w:r w:rsidR="0082156C">
              <w:rPr>
                <w:sz w:val="20"/>
                <w:szCs w:val="20"/>
              </w:rPr>
              <w:fldChar w:fldCharType="end"/>
            </w:r>
            <w:bookmarkEnd w:id="103"/>
          </w:p>
        </w:tc>
        <w:bookmarkStart w:id="104" w:name="ExpectedOutput_01"/>
        <w:tc>
          <w:tcPr>
            <w:tcW w:w="1136" w:type="pct"/>
            <w:shd w:val="clear" w:color="auto" w:fill="FFFFFF"/>
          </w:tcPr>
          <w:p w:rsidR="000D5083" w:rsidRDefault="0082156C">
            <w:pPr>
              <w:rPr>
                <w:noProof/>
                <w:sz w:val="20"/>
                <w:szCs w:val="20"/>
              </w:rPr>
            </w:pPr>
            <w:r>
              <w:rPr>
                <w:sz w:val="20"/>
                <w:szCs w:val="20"/>
              </w:rPr>
              <w:fldChar w:fldCharType="begin">
                <w:ffData>
                  <w:name w:val="ExpectedOutput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For households, government and tourism-oriented buildings:</w:t>
            </w:r>
          </w:p>
          <w:p w:rsidR="000D5083" w:rsidRDefault="000D5083">
            <w:pPr>
              <w:rPr>
                <w:noProof/>
                <w:sz w:val="20"/>
                <w:szCs w:val="20"/>
              </w:rPr>
            </w:pPr>
            <w:r>
              <w:rPr>
                <w:noProof/>
                <w:sz w:val="20"/>
                <w:szCs w:val="20"/>
              </w:rPr>
              <w:t>• Building energy audit reports</w:t>
            </w:r>
          </w:p>
          <w:p w:rsidR="000D5083" w:rsidRDefault="000D5083">
            <w:pPr>
              <w:rPr>
                <w:noProof/>
                <w:sz w:val="20"/>
                <w:szCs w:val="20"/>
              </w:rPr>
            </w:pPr>
            <w:r>
              <w:rPr>
                <w:noProof/>
                <w:sz w:val="20"/>
                <w:szCs w:val="20"/>
              </w:rPr>
              <w:t>• Energy consumption benchmarks for EE buildings</w:t>
            </w:r>
          </w:p>
          <w:p w:rsidR="000D5083" w:rsidRDefault="000D5083">
            <w:pPr>
              <w:rPr>
                <w:noProof/>
                <w:sz w:val="20"/>
                <w:szCs w:val="20"/>
              </w:rPr>
            </w:pPr>
            <w:r>
              <w:rPr>
                <w:noProof/>
                <w:sz w:val="20"/>
                <w:szCs w:val="20"/>
              </w:rPr>
              <w:t>• Statistics on potential savings from applications of EE technologies (lighting, cooling &amp; air-conditioning, insulation, housekeeping for energy savings) in buildings</w:t>
            </w:r>
          </w:p>
          <w:p w:rsidR="000D5083" w:rsidRDefault="000D5083">
            <w:pPr>
              <w:rPr>
                <w:noProof/>
                <w:sz w:val="20"/>
                <w:szCs w:val="20"/>
              </w:rPr>
            </w:pPr>
            <w:r>
              <w:rPr>
                <w:noProof/>
                <w:sz w:val="20"/>
                <w:szCs w:val="20"/>
              </w:rPr>
              <w:t>• Statistics on potential savings from street and outdoor lighting replacement with energy efficient lighting systems</w:t>
            </w:r>
          </w:p>
          <w:p w:rsidR="000D5083" w:rsidRDefault="000D5083">
            <w:pPr>
              <w:rPr>
                <w:sz w:val="20"/>
                <w:szCs w:val="20"/>
              </w:rPr>
            </w:pPr>
            <w:r>
              <w:rPr>
                <w:noProof/>
                <w:sz w:val="20"/>
                <w:szCs w:val="20"/>
              </w:rPr>
              <w:t>• Identification of viable LCE technologies for buildings (e.g.; waste heat recovery, building-integrated RE, and seawater cooling), their potential for applications &amp; GHG emission reduction</w:t>
            </w:r>
            <w:r w:rsidR="0082156C">
              <w:rPr>
                <w:sz w:val="20"/>
                <w:szCs w:val="20"/>
              </w:rPr>
              <w:fldChar w:fldCharType="end"/>
            </w:r>
            <w:bookmarkEnd w:id="104"/>
          </w:p>
        </w:tc>
        <w:bookmarkStart w:id="105" w:name="PF_TF_01"/>
        <w:tc>
          <w:tcPr>
            <w:tcW w:w="378" w:type="pct"/>
            <w:gridSpan w:val="2"/>
            <w:shd w:val="clear" w:color="auto" w:fill="FFFFFF"/>
          </w:tcPr>
          <w:p w:rsidR="000D5083" w:rsidRDefault="0082156C">
            <w:pPr>
              <w:jc w:val="right"/>
              <w:rPr>
                <w:sz w:val="20"/>
                <w:szCs w:val="20"/>
              </w:rPr>
            </w:pPr>
            <w:r>
              <w:rPr>
                <w:sz w:val="20"/>
                <w:szCs w:val="20"/>
              </w:rPr>
              <w:fldChar w:fldCharType="begin">
                <w:ffData>
                  <w:name w:val="PF_TF_01"/>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05"/>
          </w:p>
        </w:tc>
        <w:bookmarkStart w:id="106" w:name="B_GA_01"/>
        <w:tc>
          <w:tcPr>
            <w:tcW w:w="591" w:type="pct"/>
            <w:shd w:val="clear" w:color="auto" w:fill="FFFFFF"/>
          </w:tcPr>
          <w:p w:rsidR="000D5083" w:rsidRDefault="0082156C" w:rsidP="004740B4">
            <w:pPr>
              <w:jc w:val="right"/>
              <w:rPr>
                <w:sz w:val="20"/>
                <w:szCs w:val="20"/>
              </w:rPr>
            </w:pPr>
            <w:r>
              <w:rPr>
                <w:sz w:val="20"/>
                <w:szCs w:val="20"/>
              </w:rPr>
              <w:fldChar w:fldCharType="begin">
                <w:ffData>
                  <w:name w:val="B_GA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250000</w:t>
            </w:r>
            <w:r>
              <w:rPr>
                <w:sz w:val="20"/>
                <w:szCs w:val="20"/>
              </w:rPr>
              <w:fldChar w:fldCharType="end"/>
            </w:r>
            <w:bookmarkEnd w:id="106"/>
          </w:p>
        </w:tc>
        <w:bookmarkStart w:id="107" w:name="B_CO_01"/>
        <w:tc>
          <w:tcPr>
            <w:tcW w:w="627" w:type="pct"/>
            <w:shd w:val="clear" w:color="auto" w:fill="FFFFFF"/>
          </w:tcPr>
          <w:p w:rsidR="000D5083" w:rsidRDefault="0082156C">
            <w:pPr>
              <w:jc w:val="right"/>
              <w:rPr>
                <w:sz w:val="20"/>
                <w:szCs w:val="20"/>
              </w:rPr>
            </w:pPr>
            <w:r>
              <w:rPr>
                <w:sz w:val="20"/>
                <w:szCs w:val="20"/>
              </w:rPr>
              <w:fldChar w:fldCharType="begin">
                <w:ffData>
                  <w:name w:val="B_CO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1500000</w:t>
            </w:r>
            <w:r>
              <w:rPr>
                <w:sz w:val="20"/>
                <w:szCs w:val="20"/>
              </w:rPr>
              <w:fldChar w:fldCharType="end"/>
            </w:r>
            <w:bookmarkEnd w:id="107"/>
          </w:p>
        </w:tc>
      </w:tr>
      <w:bookmarkStart w:id="108" w:name="projComp_02"/>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2. Selection and recommendation of new design parameters for EE &amp; LCE buildings</w:t>
            </w:r>
            <w:r w:rsidR="000D5083">
              <w:rPr>
                <w:rFonts w:ascii="MS Mincho" w:eastAsia="MS Mincho" w:hAnsi="MS Mincho" w:cs="MS Mincho" w:hint="eastAsia"/>
                <w:noProof/>
                <w:sz w:val="20"/>
                <w:szCs w:val="20"/>
              </w:rPr>
              <w:t> </w:t>
            </w:r>
            <w:r>
              <w:rPr>
                <w:sz w:val="20"/>
                <w:szCs w:val="20"/>
              </w:rPr>
              <w:fldChar w:fldCharType="end"/>
            </w:r>
            <w:bookmarkEnd w:id="108"/>
          </w:p>
        </w:tc>
        <w:bookmarkStart w:id="109" w:name="GrantType_02"/>
        <w:tc>
          <w:tcPr>
            <w:tcW w:w="399" w:type="pct"/>
            <w:shd w:val="clear" w:color="auto" w:fill="FFFFFF"/>
          </w:tcPr>
          <w:p w:rsidR="000D5083" w:rsidRDefault="0082156C">
            <w:pPr>
              <w:rPr>
                <w:sz w:val="20"/>
                <w:szCs w:val="20"/>
              </w:rPr>
            </w:pPr>
            <w:r>
              <w:rPr>
                <w:sz w:val="20"/>
                <w:szCs w:val="20"/>
              </w:rPr>
              <w:fldChar w:fldCharType="begin">
                <w:ffData>
                  <w:name w:val="GrantType_02"/>
                  <w:enabled/>
                  <w:calcOnExit w:val="0"/>
                  <w:ddList>
                    <w:result w:val="1"/>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09"/>
          </w:p>
        </w:tc>
        <w:bookmarkStart w:id="110" w:name="ExpectedOutCome_02"/>
        <w:tc>
          <w:tcPr>
            <w:tcW w:w="986" w:type="pct"/>
            <w:shd w:val="clear" w:color="auto" w:fill="FFFFFF"/>
          </w:tcPr>
          <w:p w:rsidR="000D5083" w:rsidRDefault="0082156C">
            <w:pPr>
              <w:rPr>
                <w:noProof/>
                <w:sz w:val="20"/>
                <w:szCs w:val="20"/>
              </w:rPr>
            </w:pPr>
            <w:r>
              <w:rPr>
                <w:sz w:val="20"/>
                <w:szCs w:val="20"/>
              </w:rPr>
              <w:fldChar w:fldCharType="begin">
                <w:ffData>
                  <w:name w:val="ExpectedOutCome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Potential EE &amp; LCE building system, sub-systems &amp; component technologies identified</w:t>
            </w:r>
          </w:p>
          <w:p w:rsidR="000D5083" w:rsidRDefault="000D5083">
            <w:pPr>
              <w:rPr>
                <w:sz w:val="20"/>
                <w:szCs w:val="20"/>
              </w:rPr>
            </w:pPr>
            <w:r>
              <w:rPr>
                <w:noProof/>
                <w:sz w:val="20"/>
                <w:szCs w:val="20"/>
              </w:rPr>
              <w:t>• Deployment strategies developed and diffusion strategies planned for viable EE &amp; LCE technologies</w:t>
            </w:r>
            <w:r w:rsidR="0082156C">
              <w:rPr>
                <w:sz w:val="20"/>
                <w:szCs w:val="20"/>
              </w:rPr>
              <w:fldChar w:fldCharType="end"/>
            </w:r>
            <w:bookmarkEnd w:id="110"/>
          </w:p>
        </w:tc>
        <w:bookmarkStart w:id="111" w:name="ExpectedOutput_02"/>
        <w:tc>
          <w:tcPr>
            <w:tcW w:w="1136" w:type="pct"/>
            <w:shd w:val="clear" w:color="auto" w:fill="FFFFFF"/>
          </w:tcPr>
          <w:p w:rsidR="000D5083" w:rsidRDefault="0082156C">
            <w:pPr>
              <w:rPr>
                <w:noProof/>
                <w:sz w:val="20"/>
                <w:szCs w:val="20"/>
              </w:rPr>
            </w:pPr>
            <w:r>
              <w:rPr>
                <w:sz w:val="20"/>
                <w:szCs w:val="20"/>
              </w:rPr>
              <w:fldChar w:fldCharType="begin">
                <w:ffData>
                  <w:name w:val="ExpectedOutput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Approved methodologies for baseline GHG monitoring and verification</w:t>
            </w:r>
          </w:p>
          <w:p w:rsidR="000D5083" w:rsidRDefault="000D5083">
            <w:pPr>
              <w:rPr>
                <w:noProof/>
                <w:sz w:val="20"/>
                <w:szCs w:val="20"/>
              </w:rPr>
            </w:pPr>
            <w:r>
              <w:rPr>
                <w:noProof/>
                <w:sz w:val="20"/>
                <w:szCs w:val="20"/>
              </w:rPr>
              <w:t>• Techno-economic and environmental assessment of viable EE &amp; LCE  building technologies</w:t>
            </w:r>
          </w:p>
          <w:p w:rsidR="000D5083" w:rsidRDefault="000D5083">
            <w:pPr>
              <w:rPr>
                <w:noProof/>
                <w:sz w:val="20"/>
                <w:szCs w:val="20"/>
              </w:rPr>
            </w:pPr>
            <w:r>
              <w:rPr>
                <w:noProof/>
                <w:sz w:val="20"/>
                <w:szCs w:val="20"/>
              </w:rPr>
              <w:t xml:space="preserve">• Opportunities for substantial energy saving through redesign and technological substitution </w:t>
            </w:r>
          </w:p>
          <w:p w:rsidR="000D5083" w:rsidRDefault="000D5083">
            <w:pPr>
              <w:rPr>
                <w:sz w:val="20"/>
                <w:szCs w:val="20"/>
              </w:rPr>
            </w:pPr>
            <w:r>
              <w:rPr>
                <w:noProof/>
                <w:sz w:val="20"/>
                <w:szCs w:val="20"/>
              </w:rPr>
              <w:t>• Optimal solutions for achieving far higher EE in buildings and de-carbonization of energy use</w:t>
            </w:r>
            <w:r w:rsidR="0082156C">
              <w:rPr>
                <w:sz w:val="20"/>
                <w:szCs w:val="20"/>
              </w:rPr>
              <w:fldChar w:fldCharType="end"/>
            </w:r>
            <w:bookmarkEnd w:id="111"/>
          </w:p>
        </w:tc>
        <w:bookmarkStart w:id="112" w:name="PF_TF_02"/>
        <w:tc>
          <w:tcPr>
            <w:tcW w:w="378" w:type="pct"/>
            <w:gridSpan w:val="2"/>
            <w:shd w:val="clear" w:color="auto" w:fill="FFFFFF"/>
          </w:tcPr>
          <w:p w:rsidR="000D5083" w:rsidRDefault="0082156C">
            <w:r>
              <w:rPr>
                <w:sz w:val="20"/>
                <w:szCs w:val="20"/>
              </w:rPr>
              <w:fldChar w:fldCharType="begin">
                <w:ffData>
                  <w:name w:val="PF_TF_02"/>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12"/>
          </w:p>
        </w:tc>
        <w:bookmarkStart w:id="113" w:name="B_GA_02"/>
        <w:tc>
          <w:tcPr>
            <w:tcW w:w="591" w:type="pct"/>
            <w:shd w:val="clear" w:color="auto" w:fill="FFFFFF"/>
          </w:tcPr>
          <w:p w:rsidR="000D5083" w:rsidRDefault="0082156C" w:rsidP="004740B4">
            <w:pPr>
              <w:jc w:val="right"/>
              <w:rPr>
                <w:sz w:val="20"/>
                <w:szCs w:val="20"/>
              </w:rPr>
            </w:pPr>
            <w:r>
              <w:rPr>
                <w:sz w:val="20"/>
                <w:szCs w:val="20"/>
              </w:rPr>
              <w:fldChar w:fldCharType="begin">
                <w:ffData>
                  <w:name w:val="B_GA_02"/>
                  <w:enabled/>
                  <w:calcOnExit w:val="0"/>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150000</w:t>
            </w:r>
            <w:r>
              <w:rPr>
                <w:sz w:val="20"/>
                <w:szCs w:val="20"/>
              </w:rPr>
              <w:fldChar w:fldCharType="end"/>
            </w:r>
            <w:bookmarkEnd w:id="113"/>
          </w:p>
        </w:tc>
        <w:bookmarkStart w:id="114" w:name="B_CO_02"/>
        <w:tc>
          <w:tcPr>
            <w:tcW w:w="627" w:type="pct"/>
            <w:shd w:val="clear" w:color="auto" w:fill="FFFFFF"/>
          </w:tcPr>
          <w:p w:rsidR="000D5083" w:rsidRDefault="0082156C" w:rsidP="0061067E">
            <w:pPr>
              <w:jc w:val="right"/>
              <w:rPr>
                <w:sz w:val="20"/>
                <w:szCs w:val="20"/>
              </w:rPr>
            </w:pPr>
            <w:r>
              <w:rPr>
                <w:sz w:val="20"/>
                <w:szCs w:val="20"/>
              </w:rPr>
              <w:fldChar w:fldCharType="begin">
                <w:ffData>
                  <w:name w:val="B_CO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1067E">
              <w:rPr>
                <w:noProof/>
                <w:sz w:val="20"/>
                <w:szCs w:val="20"/>
              </w:rPr>
              <w:t>750000</w:t>
            </w:r>
            <w:r>
              <w:rPr>
                <w:sz w:val="20"/>
                <w:szCs w:val="20"/>
              </w:rPr>
              <w:fldChar w:fldCharType="end"/>
            </w:r>
            <w:bookmarkEnd w:id="114"/>
          </w:p>
        </w:tc>
      </w:tr>
      <w:bookmarkStart w:id="115" w:name="projComp_03"/>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3. Developing local technical expertise </w:t>
            </w:r>
            <w:r>
              <w:rPr>
                <w:sz w:val="20"/>
                <w:szCs w:val="20"/>
              </w:rPr>
              <w:fldChar w:fldCharType="end"/>
            </w:r>
            <w:bookmarkEnd w:id="115"/>
          </w:p>
        </w:tc>
        <w:bookmarkStart w:id="116" w:name="GrantType_03"/>
        <w:tc>
          <w:tcPr>
            <w:tcW w:w="399" w:type="pct"/>
            <w:shd w:val="clear" w:color="auto" w:fill="FFFFFF"/>
          </w:tcPr>
          <w:p w:rsidR="000D5083" w:rsidRDefault="0082156C">
            <w:pPr>
              <w:rPr>
                <w:sz w:val="20"/>
                <w:szCs w:val="20"/>
              </w:rPr>
            </w:pPr>
            <w:r>
              <w:rPr>
                <w:sz w:val="20"/>
                <w:szCs w:val="20"/>
              </w:rPr>
              <w:fldChar w:fldCharType="begin">
                <w:ffData>
                  <w:name w:val="GrantType_03"/>
                  <w:enabled/>
                  <w:calcOnExit w:val="0"/>
                  <w:ddList>
                    <w:result w:val="1"/>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16"/>
          </w:p>
        </w:tc>
        <w:bookmarkStart w:id="117" w:name="ExpectedOutCome_03"/>
        <w:tc>
          <w:tcPr>
            <w:tcW w:w="986" w:type="pct"/>
            <w:shd w:val="clear" w:color="auto" w:fill="FFFFFF"/>
          </w:tcPr>
          <w:p w:rsidR="000D5083" w:rsidRDefault="0082156C">
            <w:pPr>
              <w:rPr>
                <w:noProof/>
                <w:sz w:val="20"/>
                <w:szCs w:val="20"/>
              </w:rPr>
            </w:pPr>
            <w:r>
              <w:rPr>
                <w:sz w:val="20"/>
                <w:szCs w:val="20"/>
              </w:rPr>
              <w:fldChar w:fldCharType="begin">
                <w:ffData>
                  <w:name w:val="ExpectedOutCome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Technical training programs established in the country.</w:t>
            </w:r>
          </w:p>
          <w:p w:rsidR="000D5083" w:rsidRDefault="000D5083">
            <w:pPr>
              <w:rPr>
                <w:noProof/>
                <w:sz w:val="20"/>
                <w:szCs w:val="20"/>
              </w:rPr>
            </w:pPr>
            <w:r>
              <w:rPr>
                <w:noProof/>
                <w:sz w:val="20"/>
                <w:szCs w:val="20"/>
              </w:rPr>
              <w:t>• Local experts available and are practicing and providing their services in both the government &amp; private sectors.</w:t>
            </w:r>
          </w:p>
          <w:p w:rsidR="000D5083" w:rsidRDefault="000D5083">
            <w:pPr>
              <w:rPr>
                <w:sz w:val="20"/>
                <w:szCs w:val="20"/>
              </w:rPr>
            </w:pPr>
            <w:r>
              <w:rPr>
                <w:noProof/>
                <w:sz w:val="20"/>
                <w:szCs w:val="20"/>
              </w:rPr>
              <w:t>• Policy support for use, including mandated use of trained personnel, adopted</w:t>
            </w:r>
            <w:r w:rsidR="0082156C">
              <w:rPr>
                <w:sz w:val="20"/>
                <w:szCs w:val="20"/>
              </w:rPr>
              <w:fldChar w:fldCharType="end"/>
            </w:r>
            <w:bookmarkEnd w:id="117"/>
          </w:p>
        </w:tc>
        <w:bookmarkStart w:id="118" w:name="ExpectedOutput_03"/>
        <w:tc>
          <w:tcPr>
            <w:tcW w:w="1136" w:type="pct"/>
            <w:shd w:val="clear" w:color="auto" w:fill="FFFFFF"/>
          </w:tcPr>
          <w:p w:rsidR="000D5083" w:rsidRDefault="0082156C">
            <w:pPr>
              <w:rPr>
                <w:noProof/>
                <w:sz w:val="20"/>
                <w:szCs w:val="20"/>
              </w:rPr>
            </w:pPr>
            <w:r>
              <w:rPr>
                <w:sz w:val="20"/>
                <w:szCs w:val="20"/>
              </w:rPr>
              <w:fldChar w:fldCharType="begin">
                <w:ffData>
                  <w:name w:val="ExpectedOutput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 Assessments of human resource needs for the transformation of markets for EE &amp; LCE technologies </w:t>
            </w:r>
          </w:p>
          <w:p w:rsidR="000D5083" w:rsidRDefault="000D5083">
            <w:pPr>
              <w:rPr>
                <w:noProof/>
                <w:sz w:val="20"/>
                <w:szCs w:val="20"/>
              </w:rPr>
            </w:pPr>
            <w:r>
              <w:rPr>
                <w:noProof/>
                <w:sz w:val="20"/>
                <w:szCs w:val="20"/>
              </w:rPr>
              <w:t xml:space="preserve">• Training courses for building designers, contractors, architects, and ESCOs </w:t>
            </w:r>
          </w:p>
          <w:p w:rsidR="000D5083" w:rsidRDefault="000D5083">
            <w:pPr>
              <w:rPr>
                <w:noProof/>
                <w:sz w:val="20"/>
                <w:szCs w:val="20"/>
              </w:rPr>
            </w:pPr>
            <w:r>
              <w:rPr>
                <w:noProof/>
                <w:sz w:val="20"/>
                <w:szCs w:val="20"/>
              </w:rPr>
              <w:t>• Training courses for technicians for operation, maintenance &amp; repair of equipment &amp; appliances</w:t>
            </w:r>
          </w:p>
          <w:p w:rsidR="000D5083" w:rsidRDefault="000D5083">
            <w:pPr>
              <w:rPr>
                <w:noProof/>
                <w:sz w:val="20"/>
                <w:szCs w:val="20"/>
              </w:rPr>
            </w:pPr>
            <w:r>
              <w:rPr>
                <w:noProof/>
                <w:sz w:val="20"/>
                <w:szCs w:val="20"/>
              </w:rPr>
              <w:t>• Courses in EE &amp; LCE technologies integrated in  engineering and business management curriculla &amp; technicians’ diploma programs</w:t>
            </w:r>
          </w:p>
          <w:p w:rsidR="000D5083" w:rsidRDefault="000D5083">
            <w:pPr>
              <w:rPr>
                <w:noProof/>
                <w:sz w:val="20"/>
                <w:szCs w:val="20"/>
              </w:rPr>
            </w:pPr>
            <w:r>
              <w:rPr>
                <w:noProof/>
                <w:sz w:val="20"/>
                <w:szCs w:val="20"/>
              </w:rPr>
              <w:t xml:space="preserve">• Local experts (i.e.; engineers &amp; technicians) providing products &amp; services </w:t>
            </w:r>
          </w:p>
          <w:p w:rsidR="000D5083" w:rsidRDefault="000D5083">
            <w:pPr>
              <w:rPr>
                <w:sz w:val="20"/>
                <w:szCs w:val="20"/>
              </w:rPr>
            </w:pPr>
            <w:r>
              <w:rPr>
                <w:noProof/>
                <w:sz w:val="20"/>
                <w:szCs w:val="20"/>
              </w:rPr>
              <w:t xml:space="preserve">• ESCOs providing products &amp; services (including project development, management &amp; financing advice)  </w:t>
            </w:r>
            <w:r w:rsidR="0082156C">
              <w:rPr>
                <w:sz w:val="20"/>
                <w:szCs w:val="20"/>
              </w:rPr>
              <w:fldChar w:fldCharType="end"/>
            </w:r>
            <w:bookmarkEnd w:id="118"/>
          </w:p>
        </w:tc>
        <w:bookmarkStart w:id="119" w:name="PF_TF_03"/>
        <w:tc>
          <w:tcPr>
            <w:tcW w:w="378" w:type="pct"/>
            <w:gridSpan w:val="2"/>
            <w:shd w:val="clear" w:color="auto" w:fill="FFFFFF"/>
          </w:tcPr>
          <w:p w:rsidR="000D5083" w:rsidRDefault="0082156C">
            <w:r>
              <w:rPr>
                <w:sz w:val="20"/>
                <w:szCs w:val="20"/>
              </w:rPr>
              <w:fldChar w:fldCharType="begin">
                <w:ffData>
                  <w:name w:val="PF_TF_03"/>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19"/>
          </w:p>
        </w:tc>
        <w:bookmarkStart w:id="120" w:name="B_GA_03"/>
        <w:tc>
          <w:tcPr>
            <w:tcW w:w="591" w:type="pct"/>
            <w:shd w:val="clear" w:color="auto" w:fill="FFFFFF"/>
          </w:tcPr>
          <w:p w:rsidR="000D5083" w:rsidRDefault="0082156C" w:rsidP="004740B4">
            <w:pPr>
              <w:jc w:val="right"/>
              <w:rPr>
                <w:sz w:val="20"/>
                <w:szCs w:val="20"/>
              </w:rPr>
            </w:pPr>
            <w:r>
              <w:rPr>
                <w:sz w:val="20"/>
                <w:szCs w:val="20"/>
              </w:rPr>
              <w:fldChar w:fldCharType="begin">
                <w:ffData>
                  <w:name w:val="B_GA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200000</w:t>
            </w:r>
            <w:r>
              <w:rPr>
                <w:sz w:val="20"/>
                <w:szCs w:val="20"/>
              </w:rPr>
              <w:fldChar w:fldCharType="end"/>
            </w:r>
            <w:bookmarkEnd w:id="120"/>
          </w:p>
        </w:tc>
        <w:bookmarkStart w:id="121" w:name="B_CO_03"/>
        <w:tc>
          <w:tcPr>
            <w:tcW w:w="627" w:type="pct"/>
            <w:shd w:val="clear" w:color="auto" w:fill="FFFFFF"/>
          </w:tcPr>
          <w:p w:rsidR="000D5083" w:rsidRDefault="0082156C">
            <w:pPr>
              <w:jc w:val="right"/>
              <w:rPr>
                <w:sz w:val="20"/>
                <w:szCs w:val="20"/>
              </w:rPr>
            </w:pPr>
            <w:r>
              <w:rPr>
                <w:sz w:val="20"/>
                <w:szCs w:val="20"/>
              </w:rPr>
              <w:fldChar w:fldCharType="begin">
                <w:ffData>
                  <w:name w:val="B_CO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1500000</w:t>
            </w:r>
            <w:r>
              <w:rPr>
                <w:sz w:val="20"/>
                <w:szCs w:val="20"/>
              </w:rPr>
              <w:fldChar w:fldCharType="end"/>
            </w:r>
            <w:bookmarkEnd w:id="121"/>
          </w:p>
        </w:tc>
      </w:tr>
      <w:bookmarkStart w:id="122" w:name="projComp_04"/>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4. Technology transfer and commercial-scale demonstration of EE &amp; LCE technologies </w:t>
            </w:r>
            <w:r>
              <w:rPr>
                <w:sz w:val="20"/>
                <w:szCs w:val="20"/>
              </w:rPr>
              <w:fldChar w:fldCharType="end"/>
            </w:r>
            <w:bookmarkEnd w:id="122"/>
          </w:p>
        </w:tc>
        <w:bookmarkStart w:id="123" w:name="GrantType_04"/>
        <w:tc>
          <w:tcPr>
            <w:tcW w:w="399" w:type="pct"/>
            <w:shd w:val="clear" w:color="auto" w:fill="FFFFFF"/>
          </w:tcPr>
          <w:p w:rsidR="000D5083" w:rsidRDefault="0082156C">
            <w:pPr>
              <w:rPr>
                <w:sz w:val="20"/>
                <w:szCs w:val="20"/>
              </w:rPr>
            </w:pPr>
            <w:r>
              <w:rPr>
                <w:sz w:val="20"/>
                <w:szCs w:val="20"/>
              </w:rPr>
              <w:fldChar w:fldCharType="begin">
                <w:ffData>
                  <w:name w:val="GrantType_04"/>
                  <w:enabled/>
                  <w:calcOnExit w:val="0"/>
                  <w:ddList>
                    <w:result w:val="1"/>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23"/>
          </w:p>
        </w:tc>
        <w:bookmarkStart w:id="124" w:name="ExpectedOutCome_04"/>
        <w:tc>
          <w:tcPr>
            <w:tcW w:w="986" w:type="pct"/>
            <w:shd w:val="clear" w:color="auto" w:fill="FFFFFF"/>
          </w:tcPr>
          <w:p w:rsidR="000D5083" w:rsidRDefault="0082156C">
            <w:pPr>
              <w:rPr>
                <w:noProof/>
                <w:sz w:val="20"/>
                <w:szCs w:val="20"/>
              </w:rPr>
            </w:pPr>
            <w:r>
              <w:rPr>
                <w:sz w:val="20"/>
                <w:szCs w:val="20"/>
              </w:rPr>
              <w:fldChar w:fldCharType="begin">
                <w:ffData>
                  <w:name w:val="ExpectedOutCome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Viable LCE building technologies introduced locally</w:t>
            </w:r>
          </w:p>
          <w:p w:rsidR="000D5083" w:rsidRDefault="000D5083">
            <w:pPr>
              <w:rPr>
                <w:sz w:val="20"/>
                <w:szCs w:val="20"/>
              </w:rPr>
            </w:pPr>
            <w:r>
              <w:rPr>
                <w:noProof/>
                <w:sz w:val="20"/>
                <w:szCs w:val="20"/>
              </w:rPr>
              <w:t>• Benefits of EE and LCE technologies validated</w:t>
            </w:r>
            <w:r w:rsidR="0082156C">
              <w:rPr>
                <w:sz w:val="20"/>
                <w:szCs w:val="20"/>
              </w:rPr>
              <w:fldChar w:fldCharType="end"/>
            </w:r>
            <w:bookmarkEnd w:id="124"/>
          </w:p>
        </w:tc>
        <w:bookmarkStart w:id="125" w:name="ExpectedOutput_04"/>
        <w:tc>
          <w:tcPr>
            <w:tcW w:w="1136" w:type="pct"/>
            <w:shd w:val="clear" w:color="auto" w:fill="FFFFFF"/>
          </w:tcPr>
          <w:p w:rsidR="000D5083" w:rsidRDefault="0082156C">
            <w:pPr>
              <w:rPr>
                <w:noProof/>
                <w:sz w:val="20"/>
                <w:szCs w:val="20"/>
              </w:rPr>
            </w:pPr>
            <w:r>
              <w:rPr>
                <w:sz w:val="20"/>
                <w:szCs w:val="20"/>
              </w:rPr>
              <w:fldChar w:fldCharType="begin">
                <w:ffData>
                  <w:name w:val="ExpectedOutput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 Commercial-scale application and demonstration of: </w:t>
            </w:r>
          </w:p>
          <w:p w:rsidR="000D5083" w:rsidRDefault="000D5083">
            <w:pPr>
              <w:rPr>
                <w:noProof/>
                <w:sz w:val="20"/>
                <w:szCs w:val="20"/>
              </w:rPr>
            </w:pPr>
            <w:r>
              <w:rPr>
                <w:noProof/>
                <w:sz w:val="20"/>
                <w:szCs w:val="20"/>
              </w:rPr>
              <w:t xml:space="preserve">  - EE technologies, i.e.; cooling &amp; air-conditioning, insulation, water heating/pumping&amp;lighting  </w:t>
            </w:r>
          </w:p>
          <w:p w:rsidR="000D5083" w:rsidRDefault="000D5083">
            <w:pPr>
              <w:rPr>
                <w:noProof/>
                <w:sz w:val="20"/>
                <w:szCs w:val="20"/>
              </w:rPr>
            </w:pPr>
            <w:r>
              <w:rPr>
                <w:noProof/>
                <w:sz w:val="20"/>
                <w:szCs w:val="20"/>
              </w:rPr>
              <w:t xml:space="preserve">   - LCE technologies and designs, such as; waste heat recovery, building integrated PVand sea water cooling</w:t>
            </w:r>
          </w:p>
          <w:p w:rsidR="000D5083" w:rsidRDefault="000D5083">
            <w:pPr>
              <w:rPr>
                <w:noProof/>
                <w:sz w:val="20"/>
                <w:szCs w:val="20"/>
              </w:rPr>
            </w:pPr>
            <w:r>
              <w:rPr>
                <w:noProof/>
                <w:sz w:val="20"/>
                <w:szCs w:val="20"/>
              </w:rPr>
              <w:t xml:space="preserve">  - good housekeeping practices for energy savings,</w:t>
            </w:r>
          </w:p>
          <w:p w:rsidR="000D5083" w:rsidRDefault="000D5083">
            <w:pPr>
              <w:rPr>
                <w:noProof/>
                <w:sz w:val="20"/>
                <w:szCs w:val="20"/>
              </w:rPr>
            </w:pPr>
            <w:r>
              <w:rPr>
                <w:noProof/>
                <w:sz w:val="20"/>
                <w:szCs w:val="20"/>
              </w:rPr>
              <w:t xml:space="preserve">   - EE lighting for street, perimeter and other outside places supporting the buildings built-up area </w:t>
            </w:r>
          </w:p>
          <w:p w:rsidR="000D5083" w:rsidRDefault="000D5083">
            <w:pPr>
              <w:rPr>
                <w:sz w:val="20"/>
                <w:szCs w:val="20"/>
              </w:rPr>
            </w:pPr>
            <w:r>
              <w:rPr>
                <w:noProof/>
                <w:sz w:val="20"/>
                <w:szCs w:val="20"/>
              </w:rPr>
              <w:t>• Capital and operating costs of buildings reduced from reduced energy cost</w:t>
            </w:r>
            <w:r w:rsidR="0082156C">
              <w:rPr>
                <w:sz w:val="20"/>
                <w:szCs w:val="20"/>
              </w:rPr>
              <w:fldChar w:fldCharType="end"/>
            </w:r>
            <w:bookmarkEnd w:id="125"/>
          </w:p>
        </w:tc>
        <w:bookmarkStart w:id="126" w:name="PF_TF_04"/>
        <w:tc>
          <w:tcPr>
            <w:tcW w:w="378" w:type="pct"/>
            <w:gridSpan w:val="2"/>
            <w:shd w:val="clear" w:color="auto" w:fill="FFFFFF"/>
          </w:tcPr>
          <w:p w:rsidR="000D5083" w:rsidRDefault="0082156C">
            <w:r>
              <w:rPr>
                <w:sz w:val="20"/>
                <w:szCs w:val="20"/>
              </w:rPr>
              <w:fldChar w:fldCharType="begin">
                <w:ffData>
                  <w:name w:val="PF_TF_04"/>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26"/>
          </w:p>
        </w:tc>
        <w:bookmarkStart w:id="127" w:name="B_GA_04"/>
        <w:tc>
          <w:tcPr>
            <w:tcW w:w="591" w:type="pct"/>
            <w:shd w:val="clear" w:color="auto" w:fill="FFFFFF"/>
          </w:tcPr>
          <w:p w:rsidR="000D5083" w:rsidRDefault="0082156C" w:rsidP="004740B4">
            <w:pPr>
              <w:jc w:val="right"/>
              <w:rPr>
                <w:sz w:val="20"/>
                <w:szCs w:val="20"/>
              </w:rPr>
            </w:pPr>
            <w:r>
              <w:rPr>
                <w:sz w:val="20"/>
                <w:szCs w:val="20"/>
              </w:rPr>
              <w:fldChar w:fldCharType="begin">
                <w:ffData>
                  <w:name w:val="B_GA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900000</w:t>
            </w:r>
            <w:r>
              <w:rPr>
                <w:sz w:val="20"/>
                <w:szCs w:val="20"/>
              </w:rPr>
              <w:fldChar w:fldCharType="end"/>
            </w:r>
            <w:bookmarkEnd w:id="127"/>
          </w:p>
        </w:tc>
        <w:bookmarkStart w:id="128" w:name="B_CO_04"/>
        <w:tc>
          <w:tcPr>
            <w:tcW w:w="627" w:type="pct"/>
            <w:shd w:val="clear" w:color="auto" w:fill="FFFFFF"/>
          </w:tcPr>
          <w:p w:rsidR="000D5083" w:rsidRDefault="0082156C">
            <w:pPr>
              <w:jc w:val="right"/>
              <w:rPr>
                <w:sz w:val="20"/>
                <w:szCs w:val="20"/>
              </w:rPr>
            </w:pPr>
            <w:r>
              <w:rPr>
                <w:sz w:val="20"/>
                <w:szCs w:val="20"/>
              </w:rPr>
              <w:fldChar w:fldCharType="begin">
                <w:ffData>
                  <w:name w:val="B_CO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1500000</w:t>
            </w:r>
            <w:r>
              <w:rPr>
                <w:sz w:val="20"/>
                <w:szCs w:val="20"/>
              </w:rPr>
              <w:fldChar w:fldCharType="end"/>
            </w:r>
            <w:bookmarkEnd w:id="128"/>
          </w:p>
        </w:tc>
      </w:tr>
      <w:bookmarkStart w:id="129" w:name="projComp_05"/>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29"/>
          </w:p>
        </w:tc>
        <w:bookmarkStart w:id="130" w:name="GrantType_05"/>
        <w:tc>
          <w:tcPr>
            <w:tcW w:w="399" w:type="pct"/>
            <w:shd w:val="clear" w:color="auto" w:fill="FFFFFF"/>
          </w:tcPr>
          <w:p w:rsidR="000D5083" w:rsidRDefault="0082156C">
            <w:pPr>
              <w:rPr>
                <w:sz w:val="20"/>
                <w:szCs w:val="20"/>
              </w:rPr>
            </w:pPr>
            <w:r>
              <w:rPr>
                <w:sz w:val="20"/>
                <w:szCs w:val="20"/>
              </w:rPr>
              <w:fldChar w:fldCharType="begin">
                <w:ffData>
                  <w:name w:val="GrantType_05"/>
                  <w:enabled/>
                  <w:calcOnExit w:val="0"/>
                  <w:ddList>
                    <w:result w:val="2"/>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30"/>
          </w:p>
        </w:tc>
        <w:bookmarkStart w:id="131" w:name="ExpectedOutCome_05"/>
        <w:tc>
          <w:tcPr>
            <w:tcW w:w="986" w:type="pct"/>
            <w:shd w:val="clear" w:color="auto" w:fill="FFFFFF"/>
          </w:tcPr>
          <w:p w:rsidR="000D5083" w:rsidRDefault="0082156C">
            <w:pPr>
              <w:rPr>
                <w:noProof/>
                <w:sz w:val="20"/>
                <w:szCs w:val="20"/>
              </w:rPr>
            </w:pPr>
            <w:r>
              <w:rPr>
                <w:sz w:val="20"/>
                <w:szCs w:val="20"/>
              </w:rPr>
              <w:fldChar w:fldCharType="begin">
                <w:ffData>
                  <w:name w:val="ExpectedOutCome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 Deployment strategies for EE Roadmaps for the building sector initiated </w:t>
            </w:r>
          </w:p>
          <w:p w:rsidR="000D5083" w:rsidRDefault="000D5083">
            <w:pPr>
              <w:rPr>
                <w:noProof/>
                <w:sz w:val="20"/>
                <w:szCs w:val="20"/>
              </w:rPr>
            </w:pPr>
            <w:r>
              <w:rPr>
                <w:noProof/>
                <w:sz w:val="20"/>
                <w:szCs w:val="20"/>
              </w:rPr>
              <w:t>• General marketplace better informed and more interested in EE &amp; LCE technologies</w:t>
            </w:r>
          </w:p>
          <w:p w:rsidR="000D5083" w:rsidRDefault="000D5083">
            <w:pPr>
              <w:rPr>
                <w:sz w:val="20"/>
                <w:szCs w:val="20"/>
              </w:rPr>
            </w:pPr>
            <w:r>
              <w:rPr>
                <w:noProof/>
                <w:sz w:val="20"/>
                <w:szCs w:val="20"/>
              </w:rPr>
              <w:t xml:space="preserve">• Initial market volume boosted for ESCOs providing EE &amp; LCE buildings products &amp; services  </w:t>
            </w:r>
            <w:r>
              <w:rPr>
                <w:rFonts w:ascii="MS Mincho" w:eastAsia="MS Mincho" w:hAnsi="MS Mincho" w:cs="MS Mincho" w:hint="eastAsia"/>
                <w:noProof/>
                <w:sz w:val="20"/>
                <w:szCs w:val="20"/>
              </w:rPr>
              <w:t> </w:t>
            </w:r>
            <w:r>
              <w:rPr>
                <w:rFonts w:ascii="MS Mincho" w:eastAsia="MS Mincho" w:hAnsi="MS Mincho" w:cs="MS Mincho" w:hint="eastAsia"/>
                <w:noProof/>
                <w:sz w:val="20"/>
                <w:szCs w:val="20"/>
              </w:rPr>
              <w:t> </w:t>
            </w:r>
            <w:r>
              <w:rPr>
                <w:rFonts w:ascii="MS Mincho" w:eastAsia="MS Mincho" w:hAnsi="MS Mincho" w:cs="MS Mincho" w:hint="eastAsia"/>
                <w:noProof/>
                <w:sz w:val="20"/>
                <w:szCs w:val="20"/>
              </w:rPr>
              <w:t> </w:t>
            </w:r>
            <w:r>
              <w:rPr>
                <w:rFonts w:ascii="MS Mincho" w:eastAsia="MS Mincho" w:hAnsi="MS Mincho" w:cs="MS Mincho" w:hint="eastAsia"/>
                <w:noProof/>
                <w:sz w:val="20"/>
                <w:szCs w:val="20"/>
              </w:rPr>
              <w:t> </w:t>
            </w:r>
            <w:r>
              <w:rPr>
                <w:rFonts w:ascii="MS Mincho" w:eastAsia="MS Mincho" w:hAnsi="MS Mincho" w:cs="MS Mincho" w:hint="eastAsia"/>
                <w:noProof/>
                <w:sz w:val="20"/>
                <w:szCs w:val="20"/>
              </w:rPr>
              <w:t> </w:t>
            </w:r>
            <w:r w:rsidR="0082156C">
              <w:rPr>
                <w:sz w:val="20"/>
                <w:szCs w:val="20"/>
              </w:rPr>
              <w:fldChar w:fldCharType="end"/>
            </w:r>
            <w:bookmarkEnd w:id="131"/>
          </w:p>
        </w:tc>
        <w:bookmarkStart w:id="132" w:name="ExpectedOutput_05"/>
        <w:tc>
          <w:tcPr>
            <w:tcW w:w="1136" w:type="pct"/>
            <w:shd w:val="clear" w:color="auto" w:fill="FFFFFF"/>
          </w:tcPr>
          <w:p w:rsidR="000D5083" w:rsidRDefault="0082156C">
            <w:pPr>
              <w:rPr>
                <w:noProof/>
                <w:sz w:val="20"/>
                <w:szCs w:val="20"/>
              </w:rPr>
            </w:pPr>
            <w:r>
              <w:rPr>
                <w:sz w:val="20"/>
                <w:szCs w:val="20"/>
              </w:rPr>
              <w:fldChar w:fldCharType="begin">
                <w:ffData>
                  <w:name w:val="ExpectedOutput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•Retrofitting of existing buildings (e.g.; government &amp; tourism-oriented buildings)</w:t>
            </w:r>
          </w:p>
          <w:p w:rsidR="000D5083" w:rsidRDefault="000D5083">
            <w:pPr>
              <w:rPr>
                <w:noProof/>
                <w:sz w:val="20"/>
                <w:szCs w:val="20"/>
              </w:rPr>
            </w:pPr>
            <w:r>
              <w:rPr>
                <w:noProof/>
                <w:sz w:val="20"/>
                <w:szCs w:val="20"/>
              </w:rPr>
              <w:t xml:space="preserve">•EE &amp; LCE technologies and design integrated and incorporated in social housing projects </w:t>
            </w:r>
          </w:p>
          <w:p w:rsidR="000D5083" w:rsidRDefault="000D5083">
            <w:pPr>
              <w:rPr>
                <w:noProof/>
                <w:sz w:val="20"/>
                <w:szCs w:val="20"/>
              </w:rPr>
            </w:pPr>
            <w:r>
              <w:rPr>
                <w:noProof/>
                <w:sz w:val="20"/>
                <w:szCs w:val="20"/>
              </w:rPr>
              <w:t xml:space="preserve">•EE &amp; LCE technologies and design deployed in new government and tourism-oriented buildings </w:t>
            </w:r>
          </w:p>
          <w:p w:rsidR="000D5083" w:rsidRDefault="000D5083">
            <w:pPr>
              <w:rPr>
                <w:noProof/>
                <w:sz w:val="20"/>
                <w:szCs w:val="20"/>
              </w:rPr>
            </w:pPr>
            <w:r>
              <w:rPr>
                <w:noProof/>
                <w:sz w:val="20"/>
                <w:szCs w:val="20"/>
              </w:rPr>
              <w:t>•Dissemination of EE street and outdoor (e.g.; replacement of 1800 existing LFL and Halogen lamps in Male’ streets)</w:t>
            </w:r>
          </w:p>
          <w:p w:rsidR="000D5083" w:rsidRDefault="000D5083">
            <w:pPr>
              <w:rPr>
                <w:noProof/>
                <w:sz w:val="20"/>
                <w:szCs w:val="20"/>
              </w:rPr>
            </w:pPr>
            <w:r>
              <w:rPr>
                <w:noProof/>
                <w:sz w:val="20"/>
                <w:szCs w:val="20"/>
              </w:rPr>
              <w:t>•Y tons of GHG emissions reduced</w:t>
            </w:r>
          </w:p>
          <w:p w:rsidR="000D5083" w:rsidRDefault="000D5083">
            <w:pPr>
              <w:rPr>
                <w:sz w:val="20"/>
                <w:szCs w:val="20"/>
              </w:rPr>
            </w:pPr>
            <w:r>
              <w:rPr>
                <w:noProof/>
                <w:sz w:val="20"/>
                <w:szCs w:val="20"/>
              </w:rPr>
              <w:t>•$ amount or % of saving in street and outdoor lighting costs</w:t>
            </w:r>
            <w:r w:rsidR="0082156C">
              <w:rPr>
                <w:sz w:val="20"/>
                <w:szCs w:val="20"/>
              </w:rPr>
              <w:fldChar w:fldCharType="end"/>
            </w:r>
            <w:bookmarkEnd w:id="132"/>
          </w:p>
        </w:tc>
        <w:bookmarkStart w:id="133" w:name="PF_TF_05"/>
        <w:tc>
          <w:tcPr>
            <w:tcW w:w="378" w:type="pct"/>
            <w:gridSpan w:val="2"/>
            <w:shd w:val="clear" w:color="auto" w:fill="FFFFFF"/>
          </w:tcPr>
          <w:p w:rsidR="000D5083" w:rsidRDefault="0082156C">
            <w:r>
              <w:rPr>
                <w:sz w:val="20"/>
                <w:szCs w:val="20"/>
              </w:rPr>
              <w:fldChar w:fldCharType="begin">
                <w:ffData>
                  <w:name w:val="PF_TF_05"/>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33"/>
          </w:p>
        </w:tc>
        <w:bookmarkStart w:id="134" w:name="B_GA_05"/>
        <w:tc>
          <w:tcPr>
            <w:tcW w:w="591" w:type="pct"/>
            <w:shd w:val="clear" w:color="auto" w:fill="FFFFFF"/>
          </w:tcPr>
          <w:p w:rsidR="000D5083" w:rsidRDefault="0082156C" w:rsidP="004740B4">
            <w:pPr>
              <w:jc w:val="right"/>
              <w:rPr>
                <w:sz w:val="20"/>
                <w:szCs w:val="20"/>
              </w:rPr>
            </w:pPr>
            <w:r>
              <w:rPr>
                <w:sz w:val="20"/>
                <w:szCs w:val="20"/>
              </w:rPr>
              <w:fldChar w:fldCharType="begin">
                <w:ffData>
                  <w:name w:val="B_GA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400000</w:t>
            </w:r>
            <w:r>
              <w:rPr>
                <w:sz w:val="20"/>
                <w:szCs w:val="20"/>
              </w:rPr>
              <w:fldChar w:fldCharType="end"/>
            </w:r>
            <w:bookmarkEnd w:id="134"/>
          </w:p>
        </w:tc>
        <w:bookmarkStart w:id="135" w:name="B_CO_05"/>
        <w:tc>
          <w:tcPr>
            <w:tcW w:w="627" w:type="pct"/>
            <w:shd w:val="clear" w:color="auto" w:fill="FFFFFF"/>
          </w:tcPr>
          <w:p w:rsidR="000D5083" w:rsidRDefault="0082156C">
            <w:pPr>
              <w:jc w:val="right"/>
              <w:rPr>
                <w:sz w:val="20"/>
                <w:szCs w:val="20"/>
              </w:rPr>
            </w:pPr>
            <w:r>
              <w:rPr>
                <w:sz w:val="20"/>
                <w:szCs w:val="20"/>
              </w:rPr>
              <w:fldChar w:fldCharType="begin">
                <w:ffData>
                  <w:name w:val="B_CO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4000000</w:t>
            </w:r>
            <w:r>
              <w:rPr>
                <w:sz w:val="20"/>
                <w:szCs w:val="20"/>
              </w:rPr>
              <w:fldChar w:fldCharType="end"/>
            </w:r>
            <w:bookmarkEnd w:id="135"/>
          </w:p>
        </w:tc>
      </w:tr>
      <w:bookmarkStart w:id="136" w:name="projComp_06"/>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5. Policy for transformation of markets for EE &amp; LCE technologies</w:t>
            </w:r>
            <w:r>
              <w:rPr>
                <w:sz w:val="20"/>
                <w:szCs w:val="20"/>
              </w:rPr>
              <w:fldChar w:fldCharType="end"/>
            </w:r>
            <w:bookmarkEnd w:id="136"/>
          </w:p>
        </w:tc>
        <w:bookmarkStart w:id="137" w:name="GrantType_06"/>
        <w:tc>
          <w:tcPr>
            <w:tcW w:w="399" w:type="pct"/>
            <w:shd w:val="clear" w:color="auto" w:fill="FFFFFF"/>
          </w:tcPr>
          <w:p w:rsidR="000D5083" w:rsidRDefault="0082156C">
            <w:pPr>
              <w:rPr>
                <w:sz w:val="20"/>
                <w:szCs w:val="20"/>
              </w:rPr>
            </w:pPr>
            <w:r>
              <w:rPr>
                <w:sz w:val="20"/>
                <w:szCs w:val="20"/>
              </w:rPr>
              <w:fldChar w:fldCharType="begin">
                <w:ffData>
                  <w:name w:val="GrantType_06"/>
                  <w:enabled/>
                  <w:calcOnExit w:val="0"/>
                  <w:ddList>
                    <w:result w:val="1"/>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37"/>
          </w:p>
        </w:tc>
        <w:bookmarkStart w:id="138" w:name="ExpectedOutCome_06"/>
        <w:tc>
          <w:tcPr>
            <w:tcW w:w="986" w:type="pct"/>
            <w:shd w:val="clear" w:color="auto" w:fill="FFFFFF"/>
          </w:tcPr>
          <w:p w:rsidR="000D5083" w:rsidRDefault="0082156C">
            <w:pPr>
              <w:rPr>
                <w:noProof/>
                <w:sz w:val="20"/>
                <w:szCs w:val="20"/>
              </w:rPr>
            </w:pPr>
            <w:r>
              <w:rPr>
                <w:sz w:val="20"/>
                <w:szCs w:val="20"/>
              </w:rPr>
              <w:fldChar w:fldCharType="begin">
                <w:ffData>
                  <w:name w:val="ExpectedOutCome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Policies established to encourage public-private partnerships for EE &amp; LCE technologies</w:t>
            </w:r>
          </w:p>
          <w:p w:rsidR="000D5083" w:rsidRDefault="000D5083">
            <w:pPr>
              <w:rPr>
                <w:noProof/>
                <w:sz w:val="20"/>
                <w:szCs w:val="20"/>
              </w:rPr>
            </w:pPr>
            <w:r>
              <w:rPr>
                <w:noProof/>
                <w:sz w:val="20"/>
                <w:szCs w:val="20"/>
              </w:rPr>
              <w:t xml:space="preserve">• Clear mandates for government units &amp; streamlined coordinating mechanisms in place </w:t>
            </w:r>
          </w:p>
          <w:p w:rsidR="000D5083" w:rsidRDefault="000D5083">
            <w:pPr>
              <w:rPr>
                <w:noProof/>
                <w:sz w:val="20"/>
                <w:szCs w:val="20"/>
              </w:rPr>
            </w:pPr>
            <w:r>
              <w:rPr>
                <w:noProof/>
                <w:sz w:val="20"/>
                <w:szCs w:val="20"/>
              </w:rPr>
              <w:t xml:space="preserve">• Regulatory framework established, specifically; </w:t>
            </w:r>
          </w:p>
          <w:p w:rsidR="000D5083" w:rsidRDefault="000D5083">
            <w:pPr>
              <w:rPr>
                <w:noProof/>
                <w:sz w:val="20"/>
                <w:szCs w:val="20"/>
              </w:rPr>
            </w:pPr>
            <w:r>
              <w:rPr>
                <w:noProof/>
                <w:sz w:val="20"/>
                <w:szCs w:val="20"/>
              </w:rPr>
              <w:t>i) Energy performance standards for buildings design, construction, and appliances with ratings and mandatory energy performance (MEP) levels introduced.</w:t>
            </w:r>
          </w:p>
          <w:p w:rsidR="000D5083" w:rsidRDefault="000D5083">
            <w:pPr>
              <w:rPr>
                <w:noProof/>
                <w:sz w:val="20"/>
                <w:szCs w:val="20"/>
              </w:rPr>
            </w:pPr>
            <w:r>
              <w:rPr>
                <w:noProof/>
                <w:sz w:val="20"/>
                <w:szCs w:val="20"/>
              </w:rPr>
              <w:t xml:space="preserve">ii) EE measures in building code for new building constructions &amp; building retrofitting adopted </w:t>
            </w:r>
          </w:p>
          <w:p w:rsidR="000D5083" w:rsidRDefault="000D5083">
            <w:pPr>
              <w:rPr>
                <w:noProof/>
                <w:sz w:val="20"/>
                <w:szCs w:val="20"/>
              </w:rPr>
            </w:pPr>
            <w:r>
              <w:rPr>
                <w:noProof/>
                <w:sz w:val="20"/>
                <w:szCs w:val="20"/>
              </w:rPr>
              <w:t>iii) Building materials and component efficiency guidelines adopted into practice</w:t>
            </w:r>
          </w:p>
          <w:p w:rsidR="000D5083" w:rsidRDefault="000D5083">
            <w:pPr>
              <w:rPr>
                <w:noProof/>
                <w:sz w:val="20"/>
                <w:szCs w:val="20"/>
              </w:rPr>
            </w:pPr>
            <w:r>
              <w:rPr>
                <w:noProof/>
                <w:sz w:val="20"/>
                <w:szCs w:val="20"/>
              </w:rPr>
              <w:t>• Increased market penetration &amp; far more investment generated for EE and new LCE technologies successfully demonstrated</w:t>
            </w:r>
          </w:p>
          <w:p w:rsidR="000D5083" w:rsidRDefault="000D5083">
            <w:pPr>
              <w:rPr>
                <w:sz w:val="20"/>
                <w:szCs w:val="20"/>
              </w:rPr>
            </w:pPr>
            <w:r>
              <w:rPr>
                <w:noProof/>
                <w:sz w:val="20"/>
                <w:szCs w:val="20"/>
              </w:rPr>
              <w:t>• Faster phase-out of existing, inefficient technologies (e.g.; incandescent bulbs &amp; inefficient ACs)</w:t>
            </w:r>
            <w:r w:rsidR="0082156C">
              <w:rPr>
                <w:sz w:val="20"/>
                <w:szCs w:val="20"/>
              </w:rPr>
              <w:fldChar w:fldCharType="end"/>
            </w:r>
            <w:bookmarkEnd w:id="138"/>
          </w:p>
        </w:tc>
        <w:bookmarkStart w:id="139" w:name="ExpectedOutput_06"/>
        <w:tc>
          <w:tcPr>
            <w:tcW w:w="1136" w:type="pct"/>
            <w:shd w:val="clear" w:color="auto" w:fill="FFFFFF"/>
          </w:tcPr>
          <w:p w:rsidR="000D5083" w:rsidRDefault="0082156C">
            <w:pPr>
              <w:rPr>
                <w:noProof/>
                <w:sz w:val="20"/>
                <w:szCs w:val="20"/>
              </w:rPr>
            </w:pPr>
            <w:r>
              <w:rPr>
                <w:sz w:val="20"/>
                <w:szCs w:val="20"/>
              </w:rPr>
              <w:fldChar w:fldCharType="begin">
                <w:ffData>
                  <w:name w:val="ExpectedOutput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Energy demand side management (DSM) strategies for transformation of markets for EE &amp; LCE technologies</w:t>
            </w:r>
          </w:p>
          <w:p w:rsidR="000D5083" w:rsidRDefault="000D5083">
            <w:pPr>
              <w:rPr>
                <w:noProof/>
                <w:sz w:val="20"/>
                <w:szCs w:val="20"/>
              </w:rPr>
            </w:pPr>
            <w:r>
              <w:rPr>
                <w:noProof/>
                <w:sz w:val="20"/>
                <w:szCs w:val="20"/>
              </w:rPr>
              <w:t xml:space="preserve">• Institutional mechanisms for planning, monitoring, evaluation &amp; assessing market transformation strategies </w:t>
            </w:r>
          </w:p>
          <w:p w:rsidR="000D5083" w:rsidRDefault="000D5083">
            <w:pPr>
              <w:rPr>
                <w:noProof/>
                <w:sz w:val="20"/>
                <w:szCs w:val="20"/>
              </w:rPr>
            </w:pPr>
            <w:r>
              <w:rPr>
                <w:noProof/>
                <w:sz w:val="20"/>
                <w:szCs w:val="20"/>
              </w:rPr>
              <w:t>• Guidelines and draft standards for EE and LCE construction practices, including:</w:t>
            </w:r>
          </w:p>
          <w:p w:rsidR="000D5083" w:rsidRDefault="000D5083">
            <w:pPr>
              <w:rPr>
                <w:noProof/>
                <w:sz w:val="20"/>
                <w:szCs w:val="20"/>
              </w:rPr>
            </w:pPr>
            <w:r>
              <w:rPr>
                <w:noProof/>
                <w:sz w:val="20"/>
                <w:szCs w:val="20"/>
              </w:rPr>
              <w:t xml:space="preserve">   - Provisions for EE &amp; LCE measures and standards integrated into the revised building code</w:t>
            </w:r>
          </w:p>
          <w:p w:rsidR="000D5083" w:rsidRDefault="000D5083">
            <w:pPr>
              <w:rPr>
                <w:noProof/>
                <w:sz w:val="20"/>
                <w:szCs w:val="20"/>
              </w:rPr>
            </w:pPr>
            <w:r>
              <w:rPr>
                <w:noProof/>
                <w:sz w:val="20"/>
                <w:szCs w:val="20"/>
              </w:rPr>
              <w:t xml:space="preserve">   - Standards &amp; Labeling for EE equipment and appliances (e.g.; air-conditioners, room recirculation fan motors, exhaust fans, lights, water heaters, water pumps)</w:t>
            </w:r>
          </w:p>
          <w:p w:rsidR="000D5083" w:rsidRDefault="000D5083">
            <w:pPr>
              <w:rPr>
                <w:noProof/>
                <w:sz w:val="20"/>
                <w:szCs w:val="20"/>
              </w:rPr>
            </w:pPr>
            <w:r>
              <w:rPr>
                <w:noProof/>
                <w:sz w:val="20"/>
                <w:szCs w:val="20"/>
              </w:rPr>
              <w:t xml:space="preserve">   - Preliminary standards for LCE energy equipment &amp; products</w:t>
            </w:r>
          </w:p>
          <w:p w:rsidR="000D5083" w:rsidRDefault="000D5083">
            <w:pPr>
              <w:rPr>
                <w:noProof/>
                <w:sz w:val="20"/>
                <w:szCs w:val="20"/>
              </w:rPr>
            </w:pPr>
            <w:r>
              <w:rPr>
                <w:noProof/>
                <w:sz w:val="20"/>
                <w:szCs w:val="20"/>
              </w:rPr>
              <w:t>• A government body/ies to oversee product quality standards, product quality assurance and quality standards compliance for EE &amp; LC energy products &amp; measures</w:t>
            </w:r>
          </w:p>
          <w:p w:rsidR="000D5083" w:rsidRDefault="000D5083">
            <w:pPr>
              <w:rPr>
                <w:noProof/>
                <w:sz w:val="20"/>
                <w:szCs w:val="20"/>
              </w:rPr>
            </w:pPr>
            <w:r>
              <w:rPr>
                <w:noProof/>
                <w:sz w:val="20"/>
                <w:szCs w:val="20"/>
              </w:rPr>
              <w:t>• Marketing strategies for EE lighting, appliances &amp; equipment &amp; new LCE technologies</w:t>
            </w:r>
          </w:p>
          <w:p w:rsidR="000D5083" w:rsidRDefault="000D5083">
            <w:pPr>
              <w:rPr>
                <w:noProof/>
                <w:sz w:val="20"/>
                <w:szCs w:val="20"/>
              </w:rPr>
            </w:pPr>
            <w:r>
              <w:rPr>
                <w:noProof/>
                <w:sz w:val="20"/>
                <w:szCs w:val="20"/>
              </w:rPr>
              <w:t xml:space="preserve">• Monitoring, evaluation and assessment mechanisms, including project evaluation reports: </w:t>
            </w:r>
          </w:p>
          <w:p w:rsidR="000D5083" w:rsidRDefault="000D5083">
            <w:pPr>
              <w:rPr>
                <w:noProof/>
                <w:sz w:val="20"/>
                <w:szCs w:val="20"/>
              </w:rPr>
            </w:pPr>
            <w:r>
              <w:rPr>
                <w:noProof/>
                <w:sz w:val="20"/>
                <w:szCs w:val="20"/>
              </w:rPr>
              <w:t xml:space="preserve">   - Assessments of GHG emission reduction from EE LC energy measures adopted </w:t>
            </w:r>
          </w:p>
          <w:p w:rsidR="000D5083" w:rsidRDefault="000D5083">
            <w:pPr>
              <w:rPr>
                <w:sz w:val="20"/>
                <w:szCs w:val="20"/>
              </w:rPr>
            </w:pPr>
            <w:r>
              <w:rPr>
                <w:noProof/>
                <w:sz w:val="20"/>
                <w:szCs w:val="20"/>
              </w:rPr>
              <w:t xml:space="preserve">   - Socio-economic assessment studies, including gender aspects</w:t>
            </w:r>
            <w:r w:rsidR="0082156C">
              <w:rPr>
                <w:sz w:val="20"/>
                <w:szCs w:val="20"/>
              </w:rPr>
              <w:fldChar w:fldCharType="end"/>
            </w:r>
            <w:bookmarkEnd w:id="139"/>
          </w:p>
        </w:tc>
        <w:bookmarkStart w:id="140" w:name="PF_TF_06"/>
        <w:tc>
          <w:tcPr>
            <w:tcW w:w="378" w:type="pct"/>
            <w:gridSpan w:val="2"/>
            <w:shd w:val="clear" w:color="auto" w:fill="FFFFFF"/>
          </w:tcPr>
          <w:p w:rsidR="000D5083" w:rsidRDefault="0082156C">
            <w:r>
              <w:rPr>
                <w:sz w:val="20"/>
                <w:szCs w:val="20"/>
              </w:rPr>
              <w:fldChar w:fldCharType="begin">
                <w:ffData>
                  <w:name w:val="PF_TF_06"/>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40"/>
          </w:p>
        </w:tc>
        <w:bookmarkStart w:id="141" w:name="B_GA_06"/>
        <w:tc>
          <w:tcPr>
            <w:tcW w:w="591" w:type="pct"/>
            <w:shd w:val="clear" w:color="auto" w:fill="FFFFFF"/>
          </w:tcPr>
          <w:p w:rsidR="000D5083" w:rsidRDefault="0082156C" w:rsidP="004740B4">
            <w:pPr>
              <w:jc w:val="right"/>
              <w:rPr>
                <w:sz w:val="20"/>
                <w:szCs w:val="20"/>
              </w:rPr>
            </w:pPr>
            <w:r>
              <w:rPr>
                <w:sz w:val="20"/>
                <w:szCs w:val="20"/>
              </w:rPr>
              <w:fldChar w:fldCharType="begin">
                <w:ffData>
                  <w:name w:val="B_GA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300000</w:t>
            </w:r>
            <w:r>
              <w:rPr>
                <w:sz w:val="20"/>
                <w:szCs w:val="20"/>
              </w:rPr>
              <w:fldChar w:fldCharType="end"/>
            </w:r>
            <w:bookmarkEnd w:id="141"/>
          </w:p>
        </w:tc>
        <w:bookmarkStart w:id="142" w:name="B_CO_06"/>
        <w:tc>
          <w:tcPr>
            <w:tcW w:w="627" w:type="pct"/>
            <w:shd w:val="clear" w:color="auto" w:fill="FFFFFF"/>
          </w:tcPr>
          <w:p w:rsidR="000D5083" w:rsidRDefault="0082156C">
            <w:pPr>
              <w:jc w:val="right"/>
              <w:rPr>
                <w:sz w:val="20"/>
                <w:szCs w:val="20"/>
              </w:rPr>
            </w:pPr>
            <w:r>
              <w:rPr>
                <w:sz w:val="20"/>
                <w:szCs w:val="20"/>
              </w:rPr>
              <w:fldChar w:fldCharType="begin">
                <w:ffData>
                  <w:name w:val="B_CO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1000000</w:t>
            </w:r>
            <w:r>
              <w:rPr>
                <w:sz w:val="20"/>
                <w:szCs w:val="20"/>
              </w:rPr>
              <w:fldChar w:fldCharType="end"/>
            </w:r>
            <w:bookmarkEnd w:id="142"/>
          </w:p>
        </w:tc>
      </w:tr>
      <w:bookmarkStart w:id="143" w:name="projComp_07"/>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6. Financing for EE and LCE building technologies</w:t>
            </w:r>
            <w:r>
              <w:rPr>
                <w:sz w:val="20"/>
                <w:szCs w:val="20"/>
              </w:rPr>
              <w:fldChar w:fldCharType="end"/>
            </w:r>
            <w:bookmarkEnd w:id="143"/>
          </w:p>
        </w:tc>
        <w:bookmarkStart w:id="144" w:name="GrantType_07"/>
        <w:tc>
          <w:tcPr>
            <w:tcW w:w="399" w:type="pct"/>
            <w:shd w:val="clear" w:color="auto" w:fill="FFFFFF"/>
          </w:tcPr>
          <w:p w:rsidR="000D5083" w:rsidRDefault="0082156C">
            <w:pPr>
              <w:rPr>
                <w:sz w:val="20"/>
                <w:szCs w:val="20"/>
              </w:rPr>
            </w:pPr>
            <w:r>
              <w:rPr>
                <w:sz w:val="20"/>
                <w:szCs w:val="20"/>
              </w:rPr>
              <w:fldChar w:fldCharType="begin">
                <w:ffData>
                  <w:name w:val="GrantType_07"/>
                  <w:enabled/>
                  <w:calcOnExit w:val="0"/>
                  <w:ddList>
                    <w:result w:val="2"/>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44"/>
          </w:p>
        </w:tc>
        <w:bookmarkStart w:id="145" w:name="ExpectedOutCome_07"/>
        <w:tc>
          <w:tcPr>
            <w:tcW w:w="986" w:type="pct"/>
            <w:shd w:val="clear" w:color="auto" w:fill="FFFFFF"/>
          </w:tcPr>
          <w:p w:rsidR="000D5083" w:rsidRDefault="0082156C">
            <w:pPr>
              <w:rPr>
                <w:noProof/>
                <w:sz w:val="20"/>
                <w:szCs w:val="20"/>
              </w:rPr>
            </w:pPr>
            <w:r>
              <w:rPr>
                <w:sz w:val="20"/>
                <w:szCs w:val="20"/>
              </w:rPr>
              <w:fldChar w:fldCharType="begin">
                <w:ffData>
                  <w:name w:val="ExpectedOutCome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 Financing mechanisms established to encourage public-private partnerships </w:t>
            </w:r>
          </w:p>
          <w:p w:rsidR="000D5083" w:rsidRDefault="000D5083">
            <w:pPr>
              <w:rPr>
                <w:noProof/>
                <w:sz w:val="20"/>
                <w:szCs w:val="20"/>
              </w:rPr>
            </w:pPr>
            <w:r>
              <w:rPr>
                <w:noProof/>
                <w:sz w:val="20"/>
                <w:szCs w:val="20"/>
              </w:rPr>
              <w:t>• Fiscal incentives program (e.g.; income tax, duty exemption) to increase market uptake &amp;  penetration adopted</w:t>
            </w:r>
          </w:p>
          <w:p w:rsidR="000D5083" w:rsidRDefault="000D5083">
            <w:pPr>
              <w:rPr>
                <w:noProof/>
                <w:sz w:val="20"/>
                <w:szCs w:val="20"/>
              </w:rPr>
            </w:pPr>
            <w:r>
              <w:rPr>
                <w:noProof/>
                <w:sz w:val="20"/>
                <w:szCs w:val="20"/>
              </w:rPr>
              <w:t>• Risk hedging against fuel price spikes integrated into lending.</w:t>
            </w:r>
          </w:p>
          <w:p w:rsidR="000D5083" w:rsidRDefault="000D5083">
            <w:pPr>
              <w:rPr>
                <w:noProof/>
                <w:sz w:val="20"/>
                <w:szCs w:val="20"/>
              </w:rPr>
            </w:pPr>
            <w:r>
              <w:rPr>
                <w:noProof/>
                <w:sz w:val="20"/>
                <w:szCs w:val="20"/>
              </w:rPr>
              <w:t>• ESCO financing scheme piloted and demonstrated</w:t>
            </w:r>
          </w:p>
          <w:p w:rsidR="000D5083" w:rsidRDefault="000D5083">
            <w:pPr>
              <w:rPr>
                <w:sz w:val="20"/>
                <w:szCs w:val="20"/>
              </w:rPr>
            </w:pPr>
            <w:r>
              <w:rPr>
                <w:noProof/>
                <w:sz w:val="20"/>
                <w:szCs w:val="20"/>
              </w:rPr>
              <w:t>• Financing scheme expanded to commercial banking sector</w:t>
            </w:r>
            <w:r w:rsidR="0082156C">
              <w:rPr>
                <w:sz w:val="20"/>
                <w:szCs w:val="20"/>
              </w:rPr>
              <w:fldChar w:fldCharType="end"/>
            </w:r>
            <w:bookmarkEnd w:id="145"/>
          </w:p>
        </w:tc>
        <w:bookmarkStart w:id="146" w:name="ExpectedOutput_07"/>
        <w:tc>
          <w:tcPr>
            <w:tcW w:w="1136" w:type="pct"/>
            <w:shd w:val="clear" w:color="auto" w:fill="FFFFFF"/>
          </w:tcPr>
          <w:p w:rsidR="000D5083" w:rsidRDefault="0082156C">
            <w:pPr>
              <w:rPr>
                <w:noProof/>
                <w:sz w:val="20"/>
                <w:szCs w:val="20"/>
              </w:rPr>
            </w:pPr>
            <w:r>
              <w:rPr>
                <w:sz w:val="20"/>
                <w:szCs w:val="20"/>
              </w:rPr>
              <w:fldChar w:fldCharType="begin">
                <w:ffData>
                  <w:name w:val="ExpectedOutput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Financing mechanisms and assistance schemes to access finance:</w:t>
            </w:r>
          </w:p>
          <w:p w:rsidR="000D5083" w:rsidRDefault="000D5083">
            <w:pPr>
              <w:rPr>
                <w:noProof/>
                <w:sz w:val="20"/>
                <w:szCs w:val="20"/>
              </w:rPr>
            </w:pPr>
            <w:r>
              <w:rPr>
                <w:noProof/>
                <w:sz w:val="20"/>
                <w:szCs w:val="20"/>
              </w:rPr>
              <w:t xml:space="preserve">   - Technical assistance for designing loan schemes  </w:t>
            </w:r>
          </w:p>
          <w:p w:rsidR="000D5083" w:rsidRDefault="000D5083">
            <w:pPr>
              <w:rPr>
                <w:noProof/>
                <w:sz w:val="20"/>
                <w:szCs w:val="20"/>
              </w:rPr>
            </w:pPr>
            <w:r>
              <w:rPr>
                <w:noProof/>
                <w:sz w:val="20"/>
                <w:szCs w:val="20"/>
              </w:rPr>
              <w:t xml:space="preserve">   - Guide list of financially eligible energy upgrades and equipment for EE &amp; LCE technologies </w:t>
            </w:r>
          </w:p>
          <w:p w:rsidR="000D5083" w:rsidRDefault="000D5083">
            <w:pPr>
              <w:rPr>
                <w:noProof/>
                <w:sz w:val="20"/>
                <w:szCs w:val="20"/>
              </w:rPr>
            </w:pPr>
            <w:r>
              <w:rPr>
                <w:noProof/>
                <w:sz w:val="20"/>
                <w:szCs w:val="20"/>
              </w:rPr>
              <w:t xml:space="preserve">   - Grant support that leverages private sector financing and investment </w:t>
            </w:r>
          </w:p>
          <w:p w:rsidR="000D5083" w:rsidRDefault="000D5083">
            <w:pPr>
              <w:rPr>
                <w:noProof/>
                <w:sz w:val="20"/>
                <w:szCs w:val="20"/>
              </w:rPr>
            </w:pPr>
            <w:r>
              <w:rPr>
                <w:noProof/>
                <w:sz w:val="20"/>
                <w:szCs w:val="20"/>
              </w:rPr>
              <w:t xml:space="preserve">   - Blended loan/ grant funding, which include revolving financing mechanisms </w:t>
            </w:r>
          </w:p>
          <w:p w:rsidR="000D5083" w:rsidRDefault="000D5083">
            <w:pPr>
              <w:rPr>
                <w:sz w:val="20"/>
                <w:szCs w:val="20"/>
              </w:rPr>
            </w:pPr>
            <w:r>
              <w:rPr>
                <w:noProof/>
                <w:sz w:val="20"/>
                <w:szCs w:val="20"/>
              </w:rPr>
              <w:t>• First beneficiaries of financing mechanisms</w:t>
            </w:r>
            <w:r w:rsidR="0082156C">
              <w:rPr>
                <w:sz w:val="20"/>
                <w:szCs w:val="20"/>
              </w:rPr>
              <w:fldChar w:fldCharType="end"/>
            </w:r>
            <w:bookmarkEnd w:id="146"/>
          </w:p>
        </w:tc>
        <w:bookmarkStart w:id="147" w:name="PF_TF_07"/>
        <w:tc>
          <w:tcPr>
            <w:tcW w:w="378" w:type="pct"/>
            <w:gridSpan w:val="2"/>
            <w:shd w:val="clear" w:color="auto" w:fill="FFFFFF"/>
          </w:tcPr>
          <w:p w:rsidR="000D5083" w:rsidRDefault="0082156C">
            <w:r>
              <w:rPr>
                <w:sz w:val="20"/>
                <w:szCs w:val="20"/>
              </w:rPr>
              <w:fldChar w:fldCharType="begin">
                <w:ffData>
                  <w:name w:val="PF_TF_07"/>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47"/>
          </w:p>
        </w:tc>
        <w:bookmarkStart w:id="148" w:name="B_GA_07"/>
        <w:tc>
          <w:tcPr>
            <w:tcW w:w="591" w:type="pct"/>
            <w:shd w:val="clear" w:color="auto" w:fill="FFFFFF"/>
          </w:tcPr>
          <w:p w:rsidR="000D5083" w:rsidRDefault="0082156C" w:rsidP="004740B4">
            <w:pPr>
              <w:jc w:val="right"/>
              <w:rPr>
                <w:sz w:val="20"/>
                <w:szCs w:val="20"/>
              </w:rPr>
            </w:pPr>
            <w:r>
              <w:rPr>
                <w:sz w:val="20"/>
                <w:szCs w:val="20"/>
              </w:rPr>
              <w:fldChar w:fldCharType="begin">
                <w:ffData>
                  <w:name w:val="B_GA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740B4">
              <w:rPr>
                <w:noProof/>
                <w:sz w:val="20"/>
                <w:szCs w:val="20"/>
              </w:rPr>
              <w:t>1500000</w:t>
            </w:r>
            <w:r>
              <w:rPr>
                <w:sz w:val="20"/>
                <w:szCs w:val="20"/>
              </w:rPr>
              <w:fldChar w:fldCharType="end"/>
            </w:r>
            <w:bookmarkEnd w:id="148"/>
          </w:p>
        </w:tc>
        <w:bookmarkStart w:id="149" w:name="B_CO_07"/>
        <w:tc>
          <w:tcPr>
            <w:tcW w:w="627" w:type="pct"/>
            <w:shd w:val="clear" w:color="auto" w:fill="FFFFFF"/>
          </w:tcPr>
          <w:p w:rsidR="000D5083" w:rsidRDefault="0082156C">
            <w:pPr>
              <w:jc w:val="right"/>
              <w:rPr>
                <w:sz w:val="20"/>
                <w:szCs w:val="20"/>
              </w:rPr>
            </w:pPr>
            <w:r>
              <w:rPr>
                <w:sz w:val="20"/>
                <w:szCs w:val="20"/>
              </w:rPr>
              <w:fldChar w:fldCharType="begin">
                <w:ffData>
                  <w:name w:val="B_CO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10000000</w:t>
            </w:r>
            <w:r>
              <w:rPr>
                <w:sz w:val="20"/>
                <w:szCs w:val="20"/>
              </w:rPr>
              <w:fldChar w:fldCharType="end"/>
            </w:r>
            <w:bookmarkEnd w:id="149"/>
          </w:p>
        </w:tc>
      </w:tr>
      <w:bookmarkStart w:id="150" w:name="projComp_08"/>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0"/>
          </w:p>
        </w:tc>
        <w:bookmarkStart w:id="151" w:name="GrantType_08"/>
        <w:tc>
          <w:tcPr>
            <w:tcW w:w="399" w:type="pct"/>
            <w:shd w:val="clear" w:color="auto" w:fill="FFFFFF"/>
          </w:tcPr>
          <w:p w:rsidR="000D5083" w:rsidRDefault="0082156C">
            <w:pPr>
              <w:rPr>
                <w:sz w:val="20"/>
                <w:szCs w:val="20"/>
              </w:rPr>
            </w:pPr>
            <w:r>
              <w:rPr>
                <w:sz w:val="20"/>
                <w:szCs w:val="20"/>
              </w:rPr>
              <w:fldChar w:fldCharType="begin">
                <w:ffData>
                  <w:name w:val="GrantType_08"/>
                  <w:enabled/>
                  <w:calcOnExit w:val="0"/>
                  <w:ddList>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51"/>
          </w:p>
        </w:tc>
        <w:bookmarkStart w:id="152" w:name="ExpectedOutCome_08"/>
        <w:tc>
          <w:tcPr>
            <w:tcW w:w="986" w:type="pct"/>
            <w:shd w:val="clear" w:color="auto" w:fill="FFFFFF"/>
          </w:tcPr>
          <w:p w:rsidR="000D5083" w:rsidRDefault="0082156C">
            <w:pPr>
              <w:rPr>
                <w:sz w:val="20"/>
                <w:szCs w:val="20"/>
              </w:rPr>
            </w:pPr>
            <w:r>
              <w:rPr>
                <w:sz w:val="20"/>
                <w:szCs w:val="20"/>
              </w:rPr>
              <w:fldChar w:fldCharType="begin">
                <w:ffData>
                  <w:name w:val="ExpectedOutCome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2"/>
          </w:p>
        </w:tc>
        <w:bookmarkStart w:id="153" w:name="ExpectedOutput_08"/>
        <w:tc>
          <w:tcPr>
            <w:tcW w:w="1136" w:type="pct"/>
            <w:shd w:val="clear" w:color="auto" w:fill="FFFFFF"/>
          </w:tcPr>
          <w:p w:rsidR="000D5083" w:rsidRDefault="0082156C">
            <w:pPr>
              <w:rPr>
                <w:sz w:val="20"/>
                <w:szCs w:val="20"/>
              </w:rPr>
            </w:pPr>
            <w:r>
              <w:rPr>
                <w:sz w:val="20"/>
                <w:szCs w:val="20"/>
              </w:rPr>
              <w:fldChar w:fldCharType="begin">
                <w:ffData>
                  <w:name w:val="ExpectedOutput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3"/>
          </w:p>
        </w:tc>
        <w:bookmarkStart w:id="154" w:name="PF_TF_08"/>
        <w:tc>
          <w:tcPr>
            <w:tcW w:w="378" w:type="pct"/>
            <w:gridSpan w:val="2"/>
            <w:shd w:val="clear" w:color="auto" w:fill="FFFFFF"/>
          </w:tcPr>
          <w:p w:rsidR="000D5083" w:rsidRDefault="0082156C">
            <w:r>
              <w:rPr>
                <w:sz w:val="20"/>
                <w:szCs w:val="20"/>
              </w:rPr>
              <w:fldChar w:fldCharType="begin">
                <w:ffData>
                  <w:name w:val="PF_TF_08"/>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54"/>
          </w:p>
        </w:tc>
        <w:bookmarkStart w:id="155" w:name="B_GA_08"/>
        <w:tc>
          <w:tcPr>
            <w:tcW w:w="591" w:type="pct"/>
            <w:shd w:val="clear" w:color="auto" w:fill="FFFFFF"/>
          </w:tcPr>
          <w:p w:rsidR="000D5083" w:rsidRDefault="0082156C">
            <w:pPr>
              <w:jc w:val="right"/>
              <w:rPr>
                <w:sz w:val="20"/>
                <w:szCs w:val="20"/>
              </w:rPr>
            </w:pPr>
            <w:r>
              <w:rPr>
                <w:sz w:val="20"/>
                <w:szCs w:val="20"/>
              </w:rPr>
              <w:fldChar w:fldCharType="begin">
                <w:ffData>
                  <w:name w:val="B_GA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5"/>
          </w:p>
        </w:tc>
        <w:bookmarkStart w:id="156" w:name="B_CO_08"/>
        <w:tc>
          <w:tcPr>
            <w:tcW w:w="627" w:type="pct"/>
            <w:shd w:val="clear" w:color="auto" w:fill="FFFFFF"/>
          </w:tcPr>
          <w:p w:rsidR="000D5083" w:rsidRDefault="0082156C">
            <w:pPr>
              <w:jc w:val="right"/>
              <w:rPr>
                <w:sz w:val="20"/>
                <w:szCs w:val="20"/>
              </w:rPr>
            </w:pPr>
            <w:r>
              <w:rPr>
                <w:sz w:val="20"/>
                <w:szCs w:val="20"/>
              </w:rPr>
              <w:fldChar w:fldCharType="begin">
                <w:ffData>
                  <w:name w:val="B_CO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6"/>
          </w:p>
        </w:tc>
      </w:tr>
      <w:bookmarkStart w:id="157" w:name="projComp_09"/>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7"/>
          </w:p>
        </w:tc>
        <w:bookmarkStart w:id="158" w:name="GrantType_09"/>
        <w:tc>
          <w:tcPr>
            <w:tcW w:w="399" w:type="pct"/>
            <w:shd w:val="clear" w:color="auto" w:fill="FFFFFF"/>
          </w:tcPr>
          <w:p w:rsidR="000D5083" w:rsidRDefault="0082156C">
            <w:pPr>
              <w:rPr>
                <w:sz w:val="20"/>
                <w:szCs w:val="20"/>
              </w:rPr>
            </w:pPr>
            <w:r>
              <w:rPr>
                <w:sz w:val="20"/>
                <w:szCs w:val="20"/>
              </w:rPr>
              <w:fldChar w:fldCharType="begin">
                <w:ffData>
                  <w:name w:val="GrantType_09"/>
                  <w:enabled/>
                  <w:calcOnExit w:val="0"/>
                  <w:ddList>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58"/>
          </w:p>
        </w:tc>
        <w:bookmarkStart w:id="159" w:name="ExpectedOutCome_09"/>
        <w:tc>
          <w:tcPr>
            <w:tcW w:w="986" w:type="pct"/>
            <w:shd w:val="clear" w:color="auto" w:fill="FFFFFF"/>
          </w:tcPr>
          <w:p w:rsidR="000D5083" w:rsidRDefault="0082156C">
            <w:pPr>
              <w:rPr>
                <w:sz w:val="20"/>
                <w:szCs w:val="20"/>
              </w:rPr>
            </w:pPr>
            <w:r>
              <w:rPr>
                <w:sz w:val="20"/>
                <w:szCs w:val="20"/>
              </w:rPr>
              <w:fldChar w:fldCharType="begin">
                <w:ffData>
                  <w:name w:val="ExpectedOutCome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59"/>
          </w:p>
        </w:tc>
        <w:bookmarkStart w:id="160" w:name="ExpectedOutput_09"/>
        <w:tc>
          <w:tcPr>
            <w:tcW w:w="1136" w:type="pct"/>
            <w:shd w:val="clear" w:color="auto" w:fill="FFFFFF"/>
          </w:tcPr>
          <w:p w:rsidR="000D5083" w:rsidRDefault="0082156C">
            <w:pPr>
              <w:rPr>
                <w:sz w:val="20"/>
                <w:szCs w:val="20"/>
              </w:rPr>
            </w:pPr>
            <w:r>
              <w:rPr>
                <w:sz w:val="20"/>
                <w:szCs w:val="20"/>
              </w:rPr>
              <w:fldChar w:fldCharType="begin">
                <w:ffData>
                  <w:name w:val="ExpectedOutput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0"/>
          </w:p>
        </w:tc>
        <w:bookmarkStart w:id="161" w:name="PF_TF_09"/>
        <w:tc>
          <w:tcPr>
            <w:tcW w:w="378" w:type="pct"/>
            <w:gridSpan w:val="2"/>
            <w:shd w:val="clear" w:color="auto" w:fill="FFFFFF"/>
          </w:tcPr>
          <w:p w:rsidR="000D5083" w:rsidRDefault="0082156C">
            <w:r>
              <w:rPr>
                <w:sz w:val="20"/>
                <w:szCs w:val="20"/>
              </w:rPr>
              <w:fldChar w:fldCharType="begin">
                <w:ffData>
                  <w:name w:val="PF_TF_09"/>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61"/>
          </w:p>
        </w:tc>
        <w:bookmarkStart w:id="162" w:name="B_GA_09"/>
        <w:tc>
          <w:tcPr>
            <w:tcW w:w="591" w:type="pct"/>
            <w:shd w:val="clear" w:color="auto" w:fill="FFFFFF"/>
          </w:tcPr>
          <w:p w:rsidR="000D5083" w:rsidRDefault="0082156C">
            <w:pPr>
              <w:jc w:val="right"/>
              <w:rPr>
                <w:sz w:val="20"/>
                <w:szCs w:val="20"/>
              </w:rPr>
            </w:pPr>
            <w:r>
              <w:rPr>
                <w:sz w:val="20"/>
                <w:szCs w:val="20"/>
              </w:rPr>
              <w:fldChar w:fldCharType="begin">
                <w:ffData>
                  <w:name w:val="B_GA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2"/>
          </w:p>
        </w:tc>
        <w:bookmarkStart w:id="163" w:name="B_CO_09"/>
        <w:tc>
          <w:tcPr>
            <w:tcW w:w="627" w:type="pct"/>
            <w:shd w:val="clear" w:color="auto" w:fill="FFFFFF"/>
          </w:tcPr>
          <w:p w:rsidR="000D5083" w:rsidRDefault="0082156C">
            <w:pPr>
              <w:jc w:val="right"/>
              <w:rPr>
                <w:sz w:val="20"/>
                <w:szCs w:val="20"/>
              </w:rPr>
            </w:pPr>
            <w:r>
              <w:rPr>
                <w:sz w:val="20"/>
                <w:szCs w:val="20"/>
              </w:rPr>
              <w:fldChar w:fldCharType="begin">
                <w:ffData>
                  <w:name w:val="B_CO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3"/>
          </w:p>
        </w:tc>
      </w:tr>
      <w:bookmarkStart w:id="164" w:name="projComp_010"/>
      <w:tr w:rsidR="000D5083">
        <w:trPr>
          <w:jc w:val="center"/>
        </w:trPr>
        <w:tc>
          <w:tcPr>
            <w:tcW w:w="883" w:type="pct"/>
            <w:shd w:val="clear" w:color="auto" w:fill="FFFFFF"/>
          </w:tcPr>
          <w:p w:rsidR="000D5083" w:rsidRDefault="0082156C">
            <w:pPr>
              <w:rPr>
                <w:sz w:val="20"/>
                <w:szCs w:val="20"/>
              </w:rPr>
            </w:pPr>
            <w:r>
              <w:rPr>
                <w:sz w:val="20"/>
                <w:szCs w:val="20"/>
              </w:rPr>
              <w:fldChar w:fldCharType="begin">
                <w:ffData>
                  <w:name w:val="projComp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4"/>
          </w:p>
        </w:tc>
        <w:bookmarkStart w:id="165" w:name="GrantType_010"/>
        <w:tc>
          <w:tcPr>
            <w:tcW w:w="399" w:type="pct"/>
            <w:shd w:val="clear" w:color="auto" w:fill="FFFFFF"/>
          </w:tcPr>
          <w:p w:rsidR="000D5083" w:rsidRDefault="0082156C">
            <w:pPr>
              <w:rPr>
                <w:sz w:val="20"/>
                <w:szCs w:val="20"/>
              </w:rPr>
            </w:pPr>
            <w:r>
              <w:rPr>
                <w:sz w:val="20"/>
                <w:szCs w:val="20"/>
              </w:rPr>
              <w:fldChar w:fldCharType="begin">
                <w:ffData>
                  <w:name w:val="GrantType_010"/>
                  <w:enabled/>
                  <w:calcOnExit w:val="0"/>
                  <w:ddList>
                    <w:listEntry w:val="(select)"/>
                    <w:listEntry w:val="TA"/>
                    <w:listEntry w:val="Inv"/>
                  </w:ddList>
                </w:ffData>
              </w:fldChar>
            </w:r>
            <w:r w:rsidR="000D5083">
              <w:rPr>
                <w:sz w:val="20"/>
                <w:szCs w:val="20"/>
              </w:rPr>
              <w:instrText xml:space="preserve"> FORMDROPDOWN </w:instrText>
            </w:r>
            <w:r>
              <w:rPr>
                <w:sz w:val="20"/>
                <w:szCs w:val="20"/>
              </w:rPr>
            </w:r>
            <w:r>
              <w:rPr>
                <w:sz w:val="20"/>
                <w:szCs w:val="20"/>
              </w:rPr>
              <w:fldChar w:fldCharType="end"/>
            </w:r>
            <w:bookmarkEnd w:id="165"/>
          </w:p>
        </w:tc>
        <w:bookmarkStart w:id="166" w:name="ExpectedOutCome_010"/>
        <w:tc>
          <w:tcPr>
            <w:tcW w:w="986" w:type="pct"/>
            <w:shd w:val="clear" w:color="auto" w:fill="FFFFFF"/>
          </w:tcPr>
          <w:p w:rsidR="000D5083" w:rsidRDefault="0082156C">
            <w:pPr>
              <w:rPr>
                <w:sz w:val="20"/>
                <w:szCs w:val="20"/>
              </w:rPr>
            </w:pPr>
            <w:r>
              <w:rPr>
                <w:sz w:val="20"/>
                <w:szCs w:val="20"/>
              </w:rPr>
              <w:fldChar w:fldCharType="begin">
                <w:ffData>
                  <w:name w:val="ExpectedOutCome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6"/>
          </w:p>
        </w:tc>
        <w:bookmarkStart w:id="167" w:name="ExpectedOutput_010"/>
        <w:tc>
          <w:tcPr>
            <w:tcW w:w="1136" w:type="pct"/>
            <w:shd w:val="clear" w:color="auto" w:fill="FFFFFF"/>
          </w:tcPr>
          <w:p w:rsidR="000D5083" w:rsidRDefault="0082156C">
            <w:pPr>
              <w:rPr>
                <w:sz w:val="20"/>
                <w:szCs w:val="20"/>
              </w:rPr>
            </w:pPr>
            <w:r>
              <w:rPr>
                <w:sz w:val="20"/>
                <w:szCs w:val="20"/>
              </w:rPr>
              <w:fldChar w:fldCharType="begin">
                <w:ffData>
                  <w:name w:val="ExpectedOutput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7"/>
          </w:p>
        </w:tc>
        <w:bookmarkStart w:id="168" w:name="PF_TF_010"/>
        <w:tc>
          <w:tcPr>
            <w:tcW w:w="378" w:type="pct"/>
            <w:gridSpan w:val="2"/>
            <w:shd w:val="clear" w:color="auto" w:fill="FFFFFF"/>
          </w:tcPr>
          <w:p w:rsidR="000D5083" w:rsidRDefault="0082156C">
            <w:r>
              <w:rPr>
                <w:sz w:val="20"/>
                <w:szCs w:val="20"/>
              </w:rPr>
              <w:fldChar w:fldCharType="begin">
                <w:ffData>
                  <w:name w:val="PF_TF_010"/>
                  <w:enabled/>
                  <w:calcOnExit w:val="0"/>
                  <w:ddList>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68"/>
          </w:p>
        </w:tc>
        <w:bookmarkStart w:id="169" w:name="B_GA_010"/>
        <w:tc>
          <w:tcPr>
            <w:tcW w:w="591" w:type="pct"/>
            <w:shd w:val="clear" w:color="auto" w:fill="FFFFFF"/>
          </w:tcPr>
          <w:p w:rsidR="000D5083" w:rsidRDefault="0082156C">
            <w:pPr>
              <w:jc w:val="right"/>
              <w:rPr>
                <w:sz w:val="20"/>
                <w:szCs w:val="20"/>
              </w:rPr>
            </w:pPr>
            <w:r>
              <w:rPr>
                <w:sz w:val="20"/>
                <w:szCs w:val="20"/>
              </w:rPr>
              <w:fldChar w:fldCharType="begin">
                <w:ffData>
                  <w:name w:val="B_GA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69"/>
          </w:p>
        </w:tc>
        <w:bookmarkStart w:id="170" w:name="B_CO_010"/>
        <w:tc>
          <w:tcPr>
            <w:tcW w:w="627" w:type="pct"/>
            <w:shd w:val="clear" w:color="auto" w:fill="FFFFFF"/>
          </w:tcPr>
          <w:p w:rsidR="000D5083" w:rsidRDefault="0082156C">
            <w:pPr>
              <w:jc w:val="right"/>
              <w:rPr>
                <w:sz w:val="20"/>
                <w:szCs w:val="20"/>
              </w:rPr>
            </w:pPr>
            <w:r>
              <w:rPr>
                <w:sz w:val="20"/>
                <w:szCs w:val="20"/>
              </w:rPr>
              <w:fldChar w:fldCharType="begin">
                <w:ffData>
                  <w:name w:val="B_CO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170"/>
          </w:p>
        </w:tc>
      </w:tr>
      <w:tr w:rsidR="000D5083">
        <w:trPr>
          <w:jc w:val="center"/>
        </w:trPr>
        <w:tc>
          <w:tcPr>
            <w:tcW w:w="3424" w:type="pct"/>
            <w:gridSpan w:val="5"/>
            <w:shd w:val="clear" w:color="auto" w:fill="FFFFFF"/>
          </w:tcPr>
          <w:p w:rsidR="000D5083" w:rsidRDefault="000D5083">
            <w:pPr>
              <w:jc w:val="right"/>
              <w:rPr>
                <w:sz w:val="20"/>
                <w:szCs w:val="20"/>
              </w:rPr>
            </w:pPr>
            <w:r>
              <w:rPr>
                <w:sz w:val="20"/>
                <w:szCs w:val="20"/>
              </w:rPr>
              <w:t>Sub-Total</w:t>
            </w:r>
          </w:p>
        </w:tc>
        <w:tc>
          <w:tcPr>
            <w:tcW w:w="358" w:type="pct"/>
            <w:shd w:val="clear" w:color="auto" w:fill="FFFFFF"/>
          </w:tcPr>
          <w:p w:rsidR="000D5083" w:rsidRDefault="000D5083">
            <w:pPr>
              <w:jc w:val="right"/>
              <w:rPr>
                <w:sz w:val="20"/>
                <w:szCs w:val="20"/>
              </w:rPr>
            </w:pPr>
          </w:p>
        </w:tc>
        <w:bookmarkStart w:id="171" w:name="SUBTOT_B_GA"/>
        <w:tc>
          <w:tcPr>
            <w:tcW w:w="591" w:type="pct"/>
            <w:shd w:val="clear" w:color="auto" w:fill="FFFFFF"/>
          </w:tcPr>
          <w:p w:rsidR="000D5083" w:rsidRDefault="0082156C">
            <w:pPr>
              <w:jc w:val="right"/>
            </w:pPr>
            <w:r>
              <w:rPr>
                <w:sz w:val="20"/>
                <w:szCs w:val="20"/>
              </w:rPr>
              <w:fldChar w:fldCharType="begin">
                <w:ffData>
                  <w:name w:val="SUBTOT_B_GA"/>
                  <w:enabled w:val="0"/>
                  <w:calcOnExit/>
                  <w:textInput>
                    <w:type w:val="calculated"/>
                    <w:default w:val="=sum(B_GA_01,B_GA_02,B_GA_03,B_GA_04,B_GA_05,B_GA_06,B_GA_07,B_GA_08,B_GA_09,B_GA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=sum(B_GA_01,B_GA_02,B_GA_03,B_GA_04,B_GA_05,B_GA_06,B_GA_07,B_GA_08,B_GA_09,B_GA_010) </w:instrText>
            </w:r>
            <w:r>
              <w:rPr>
                <w:sz w:val="20"/>
                <w:szCs w:val="20"/>
              </w:rPr>
              <w:fldChar w:fldCharType="separate"/>
            </w:r>
            <w:r w:rsidR="0061067E">
              <w:rPr>
                <w:noProof/>
                <w:sz w:val="20"/>
                <w:szCs w:val="20"/>
              </w:rPr>
              <w:instrText>3700000</w:instrText>
            </w:r>
            <w:r>
              <w:rPr>
                <w:sz w:val="20"/>
                <w:szCs w:val="20"/>
              </w:rPr>
              <w:fldChar w:fldCharType="end"/>
            </w:r>
            <w:r>
              <w:rPr>
                <w:sz w:val="20"/>
                <w:szCs w:val="20"/>
              </w:rPr>
            </w:r>
            <w:r>
              <w:rPr>
                <w:sz w:val="20"/>
                <w:szCs w:val="20"/>
              </w:rPr>
              <w:fldChar w:fldCharType="separate"/>
            </w:r>
            <w:r w:rsidR="0061067E">
              <w:rPr>
                <w:noProof/>
                <w:sz w:val="20"/>
                <w:szCs w:val="20"/>
              </w:rPr>
              <w:t>3700000</w:t>
            </w:r>
            <w:r>
              <w:rPr>
                <w:sz w:val="20"/>
                <w:szCs w:val="20"/>
              </w:rPr>
              <w:fldChar w:fldCharType="end"/>
            </w:r>
            <w:bookmarkEnd w:id="171"/>
          </w:p>
        </w:tc>
        <w:bookmarkStart w:id="172" w:name="STPFtotProjCostCOFIN"/>
        <w:tc>
          <w:tcPr>
            <w:tcW w:w="627" w:type="pct"/>
            <w:shd w:val="clear" w:color="auto" w:fill="FFFFFF"/>
          </w:tcPr>
          <w:p w:rsidR="000D5083" w:rsidRDefault="0082156C">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=sum(B_CO_01,B_CO_02,B_CO_03,B_CO_04,B_CO_05,B_CO_06,B_CO_07,B_CO_08,B_CO_09,B_CO_010) </w:instrText>
            </w:r>
            <w:r>
              <w:rPr>
                <w:sz w:val="20"/>
                <w:szCs w:val="20"/>
              </w:rPr>
              <w:fldChar w:fldCharType="separate"/>
            </w:r>
            <w:r w:rsidR="0061067E">
              <w:rPr>
                <w:noProof/>
                <w:sz w:val="20"/>
                <w:szCs w:val="20"/>
              </w:rPr>
              <w:instrText>20250000</w:instrText>
            </w:r>
            <w:r>
              <w:rPr>
                <w:sz w:val="20"/>
                <w:szCs w:val="20"/>
              </w:rPr>
              <w:fldChar w:fldCharType="end"/>
            </w:r>
            <w:r>
              <w:rPr>
                <w:sz w:val="20"/>
                <w:szCs w:val="20"/>
              </w:rPr>
            </w:r>
            <w:r>
              <w:rPr>
                <w:sz w:val="20"/>
                <w:szCs w:val="20"/>
              </w:rPr>
              <w:fldChar w:fldCharType="separate"/>
            </w:r>
            <w:r w:rsidR="0061067E">
              <w:rPr>
                <w:noProof/>
                <w:sz w:val="20"/>
                <w:szCs w:val="20"/>
              </w:rPr>
              <w:t>20250000</w:t>
            </w:r>
            <w:r>
              <w:rPr>
                <w:sz w:val="20"/>
                <w:szCs w:val="20"/>
              </w:rPr>
              <w:fldChar w:fldCharType="end"/>
            </w:r>
            <w:bookmarkEnd w:id="172"/>
          </w:p>
        </w:tc>
      </w:tr>
      <w:tr w:rsidR="000D5083">
        <w:trPr>
          <w:jc w:val="center"/>
        </w:trPr>
        <w:tc>
          <w:tcPr>
            <w:tcW w:w="3424" w:type="pct"/>
            <w:gridSpan w:val="5"/>
            <w:tcBorders>
              <w:top w:val="double" w:sz="4" w:space="0" w:color="auto"/>
              <w:bottom w:val="double" w:sz="4" w:space="0" w:color="auto"/>
            </w:tcBorders>
            <w:shd w:val="clear" w:color="auto" w:fill="FFFFFF"/>
          </w:tcPr>
          <w:p w:rsidR="000D5083" w:rsidRDefault="000D5083">
            <w:pPr>
              <w:jc w:val="right"/>
              <w:rPr>
                <w:sz w:val="20"/>
                <w:szCs w:val="20"/>
              </w:rPr>
            </w:pPr>
            <w:r>
              <w:rPr>
                <w:sz w:val="20"/>
                <w:szCs w:val="20"/>
              </w:rPr>
              <w:t>Project Management Cost</w:t>
            </w:r>
            <w:r>
              <w:rPr>
                <w:rStyle w:val="FootnoteReference"/>
                <w:sz w:val="22"/>
                <w:szCs w:val="22"/>
              </w:rPr>
              <w:footnoteReference w:id="5"/>
            </w:r>
          </w:p>
        </w:tc>
        <w:bookmarkStart w:id="173" w:name="PF_TF_PMC"/>
        <w:tc>
          <w:tcPr>
            <w:tcW w:w="358" w:type="pct"/>
            <w:tcBorders>
              <w:top w:val="double" w:sz="4" w:space="0" w:color="auto"/>
              <w:bottom w:val="double" w:sz="4" w:space="0" w:color="auto"/>
            </w:tcBorders>
            <w:shd w:val="clear" w:color="auto" w:fill="FFFFFF"/>
          </w:tcPr>
          <w:p w:rsidR="000D5083" w:rsidRDefault="0082156C">
            <w:r>
              <w:rPr>
                <w:sz w:val="20"/>
                <w:szCs w:val="20"/>
              </w:rPr>
              <w:fldChar w:fldCharType="begin">
                <w:ffData>
                  <w:name w:val="PF_TF_PMC"/>
                  <w:enabled/>
                  <w:calcOnExit w:val="0"/>
                  <w:ddList>
                    <w:result w:val="1"/>
                    <w:listEntry w:val="(select)"/>
                    <w:listEntry w:val="GEFTF"/>
                    <w:listEntry w:val="LDCF"/>
                    <w:listEntry w:val="SCCF"/>
                  </w:ddList>
                </w:ffData>
              </w:fldChar>
            </w:r>
            <w:r w:rsidR="000D5083">
              <w:rPr>
                <w:sz w:val="20"/>
                <w:szCs w:val="20"/>
              </w:rPr>
              <w:instrText xml:space="preserve"> FORMDROPDOWN </w:instrText>
            </w:r>
            <w:r>
              <w:rPr>
                <w:sz w:val="20"/>
                <w:szCs w:val="20"/>
              </w:rPr>
            </w:r>
            <w:r>
              <w:rPr>
                <w:sz w:val="20"/>
                <w:szCs w:val="20"/>
              </w:rPr>
              <w:fldChar w:fldCharType="end"/>
            </w:r>
            <w:bookmarkEnd w:id="173"/>
          </w:p>
        </w:tc>
        <w:bookmarkStart w:id="174" w:name="B_ProjMgmt_GA"/>
        <w:tc>
          <w:tcPr>
            <w:tcW w:w="591" w:type="pct"/>
            <w:tcBorders>
              <w:bottom w:val="double" w:sz="4" w:space="0" w:color="auto"/>
            </w:tcBorders>
            <w:shd w:val="clear" w:color="auto" w:fill="FFFFFF"/>
          </w:tcPr>
          <w:p w:rsidR="000D5083" w:rsidRDefault="0082156C" w:rsidP="00C56745">
            <w:pPr>
              <w:jc w:val="right"/>
              <w:rPr>
                <w:sz w:val="20"/>
                <w:szCs w:val="20"/>
              </w:rPr>
            </w:pPr>
            <w:r>
              <w:rPr>
                <w:sz w:val="20"/>
                <w:szCs w:val="20"/>
              </w:rPr>
              <w:fldChar w:fldCharType="begin">
                <w:ffData>
                  <w:name w:val="B_ProjMgmt_GA"/>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C56745">
              <w:rPr>
                <w:noProof/>
                <w:sz w:val="20"/>
                <w:szCs w:val="20"/>
              </w:rPr>
              <w:t>185000</w:t>
            </w:r>
            <w:r>
              <w:rPr>
                <w:sz w:val="20"/>
                <w:szCs w:val="20"/>
              </w:rPr>
              <w:fldChar w:fldCharType="end"/>
            </w:r>
            <w:bookmarkEnd w:id="174"/>
          </w:p>
        </w:tc>
        <w:bookmarkStart w:id="175" w:name="B_projMgmt_CO"/>
        <w:tc>
          <w:tcPr>
            <w:tcW w:w="627" w:type="pct"/>
            <w:tcBorders>
              <w:bottom w:val="double" w:sz="4" w:space="0" w:color="auto"/>
            </w:tcBorders>
            <w:shd w:val="clear" w:color="auto" w:fill="FFFFFF"/>
          </w:tcPr>
          <w:p w:rsidR="000D5083" w:rsidRDefault="0082156C">
            <w:pPr>
              <w:jc w:val="right"/>
              <w:rPr>
                <w:sz w:val="20"/>
                <w:szCs w:val="20"/>
              </w:rPr>
            </w:pPr>
            <w:r>
              <w:rPr>
                <w:sz w:val="20"/>
                <w:szCs w:val="20"/>
              </w:rPr>
              <w:fldChar w:fldCharType="begin">
                <w:ffData>
                  <w:name w:val="B_projMgmt_CO"/>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6A2EBC">
              <w:rPr>
                <w:noProof/>
                <w:sz w:val="20"/>
                <w:szCs w:val="20"/>
              </w:rPr>
              <w:t>1000000</w:t>
            </w:r>
            <w:r>
              <w:rPr>
                <w:sz w:val="20"/>
                <w:szCs w:val="20"/>
              </w:rPr>
              <w:fldChar w:fldCharType="end"/>
            </w:r>
            <w:bookmarkEnd w:id="175"/>
          </w:p>
        </w:tc>
      </w:tr>
      <w:tr w:rsidR="000D5083">
        <w:trPr>
          <w:jc w:val="center"/>
        </w:trPr>
        <w:tc>
          <w:tcPr>
            <w:tcW w:w="3424" w:type="pct"/>
            <w:gridSpan w:val="5"/>
            <w:tcBorders>
              <w:top w:val="double" w:sz="4" w:space="0" w:color="auto"/>
              <w:bottom w:val="double" w:sz="4" w:space="0" w:color="auto"/>
            </w:tcBorders>
            <w:shd w:val="clear" w:color="auto" w:fill="FFFFFF"/>
          </w:tcPr>
          <w:p w:rsidR="000D5083" w:rsidRDefault="000D5083">
            <w:pPr>
              <w:jc w:val="right"/>
              <w:rPr>
                <w:sz w:val="20"/>
                <w:szCs w:val="20"/>
              </w:rPr>
            </w:pPr>
            <w:r>
              <w:rPr>
                <w:b/>
                <w:bCs/>
                <w:sz w:val="20"/>
                <w:szCs w:val="20"/>
              </w:rPr>
              <w:t>Total Project Costs</w:t>
            </w:r>
          </w:p>
        </w:tc>
        <w:tc>
          <w:tcPr>
            <w:tcW w:w="358" w:type="pct"/>
            <w:tcBorders>
              <w:top w:val="double" w:sz="4" w:space="0" w:color="auto"/>
              <w:bottom w:val="double" w:sz="4" w:space="0" w:color="auto"/>
            </w:tcBorders>
            <w:shd w:val="clear" w:color="auto" w:fill="FFFFFF"/>
          </w:tcPr>
          <w:p w:rsidR="000D5083" w:rsidRDefault="000D5083">
            <w:pPr>
              <w:jc w:val="right"/>
              <w:rPr>
                <w:sz w:val="20"/>
                <w:szCs w:val="20"/>
              </w:rPr>
            </w:pPr>
          </w:p>
        </w:tc>
        <w:bookmarkStart w:id="176" w:name="PFtotalProjCostGEF"/>
        <w:tc>
          <w:tcPr>
            <w:tcW w:w="591" w:type="pct"/>
            <w:tcBorders>
              <w:top w:val="double" w:sz="4" w:space="0" w:color="auto"/>
              <w:bottom w:val="double" w:sz="4" w:space="0" w:color="auto"/>
            </w:tcBorders>
            <w:shd w:val="clear" w:color="auto" w:fill="FFFFFF"/>
          </w:tcPr>
          <w:p w:rsidR="000D5083" w:rsidRDefault="0082156C">
            <w:pPr>
              <w:jc w:val="right"/>
              <w:rPr>
                <w:sz w:val="20"/>
                <w:szCs w:val="20"/>
              </w:rPr>
            </w:pPr>
            <w:r>
              <w:rPr>
                <w:sz w:val="20"/>
                <w:szCs w:val="20"/>
              </w:rPr>
              <w:fldChar w:fldCharType="begin">
                <w:ffData>
                  <w:name w:val="PFtotalProjCostGEF"/>
                  <w:enabled w:val="0"/>
                  <w:calcOnExit/>
                  <w:textInput>
                    <w:type w:val="calculated"/>
                    <w:default w:val="=sum(SUBTOT_B_GA,B_ProjMgmt_GA)"/>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=sum(SUBTOT_B_GA,B_ProjMgmt_GA) </w:instrText>
            </w:r>
            <w:r>
              <w:rPr>
                <w:sz w:val="20"/>
                <w:szCs w:val="20"/>
              </w:rPr>
              <w:fldChar w:fldCharType="separate"/>
            </w:r>
            <w:r w:rsidR="0061067E">
              <w:rPr>
                <w:noProof/>
                <w:sz w:val="20"/>
                <w:szCs w:val="20"/>
              </w:rPr>
              <w:instrText>3885000</w:instrText>
            </w:r>
            <w:r>
              <w:rPr>
                <w:sz w:val="20"/>
                <w:szCs w:val="20"/>
              </w:rPr>
              <w:fldChar w:fldCharType="end"/>
            </w:r>
            <w:r>
              <w:rPr>
                <w:sz w:val="20"/>
                <w:szCs w:val="20"/>
              </w:rPr>
            </w:r>
            <w:r>
              <w:rPr>
                <w:sz w:val="20"/>
                <w:szCs w:val="20"/>
              </w:rPr>
              <w:fldChar w:fldCharType="separate"/>
            </w:r>
            <w:r w:rsidR="0061067E">
              <w:rPr>
                <w:noProof/>
                <w:sz w:val="20"/>
                <w:szCs w:val="20"/>
              </w:rPr>
              <w:t>3885000</w:t>
            </w:r>
            <w:r>
              <w:rPr>
                <w:sz w:val="20"/>
                <w:szCs w:val="20"/>
              </w:rPr>
              <w:fldChar w:fldCharType="end"/>
            </w:r>
            <w:bookmarkEnd w:id="176"/>
          </w:p>
        </w:tc>
        <w:bookmarkStart w:id="177" w:name="PFtotalProjCostCOFIN"/>
        <w:tc>
          <w:tcPr>
            <w:tcW w:w="627" w:type="pct"/>
            <w:tcBorders>
              <w:top w:val="double" w:sz="4" w:space="0" w:color="auto"/>
              <w:bottom w:val="double" w:sz="4" w:space="0" w:color="auto"/>
            </w:tcBorders>
            <w:shd w:val="clear" w:color="auto" w:fill="FFFFFF"/>
          </w:tcPr>
          <w:p w:rsidR="000D5083" w:rsidRDefault="0082156C">
            <w:pPr>
              <w:jc w:val="right"/>
              <w:rPr>
                <w:sz w:val="20"/>
                <w:szCs w:val="20"/>
              </w:rPr>
            </w:pPr>
            <w:r>
              <w:rPr>
                <w:sz w:val="20"/>
                <w:szCs w:val="20"/>
              </w:rPr>
              <w:fldChar w:fldCharType="begin">
                <w:ffData>
                  <w:name w:val="PFtotalProjCostCOFIN"/>
                  <w:enabled w:val="0"/>
                  <w:calcOnExit/>
                  <w:textInput>
                    <w:type w:val="calculated"/>
                    <w:default w:val="=SUM(STPFtotProjCostCOFIN,B_projMgmt_CO)"/>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=SUM(STPFtotProjCostCOFIN,B_projMgmt_CO) </w:instrText>
            </w:r>
            <w:r>
              <w:rPr>
                <w:sz w:val="20"/>
                <w:szCs w:val="20"/>
              </w:rPr>
              <w:fldChar w:fldCharType="separate"/>
            </w:r>
            <w:r w:rsidR="0061067E">
              <w:rPr>
                <w:noProof/>
                <w:sz w:val="20"/>
                <w:szCs w:val="20"/>
              </w:rPr>
              <w:instrText>21250000</w:instrText>
            </w:r>
            <w:r>
              <w:rPr>
                <w:sz w:val="20"/>
                <w:szCs w:val="20"/>
              </w:rPr>
              <w:fldChar w:fldCharType="end"/>
            </w:r>
            <w:r>
              <w:rPr>
                <w:sz w:val="20"/>
                <w:szCs w:val="20"/>
              </w:rPr>
            </w:r>
            <w:r>
              <w:rPr>
                <w:sz w:val="20"/>
                <w:szCs w:val="20"/>
              </w:rPr>
              <w:fldChar w:fldCharType="separate"/>
            </w:r>
            <w:r w:rsidR="0061067E">
              <w:rPr>
                <w:noProof/>
                <w:sz w:val="20"/>
                <w:szCs w:val="20"/>
              </w:rPr>
              <w:t>21250000</w:t>
            </w:r>
            <w:r>
              <w:rPr>
                <w:sz w:val="20"/>
                <w:szCs w:val="20"/>
              </w:rPr>
              <w:fldChar w:fldCharType="end"/>
            </w:r>
            <w:bookmarkEnd w:id="177"/>
          </w:p>
        </w:tc>
      </w:tr>
    </w:tbl>
    <w:p w:rsidR="000D5083" w:rsidRDefault="000D5083">
      <w:pPr>
        <w:ind w:right="-547"/>
        <w:rPr>
          <w:b/>
          <w:bCs/>
          <w:sz w:val="20"/>
          <w:szCs w:val="20"/>
        </w:rPr>
      </w:pPr>
    </w:p>
    <w:p w:rsidR="000D5083" w:rsidRDefault="000D5083">
      <w:pPr>
        <w:pStyle w:val="Footer"/>
        <w:numPr>
          <w:ilvl w:val="0"/>
          <w:numId w:val="4"/>
        </w:numPr>
        <w:tabs>
          <w:tab w:val="clear" w:pos="4320"/>
          <w:tab w:val="clear" w:pos="8640"/>
        </w:tabs>
        <w:spacing w:before="240" w:after="80"/>
        <w:ind w:hanging="1440"/>
        <w:rPr>
          <w:b/>
          <w:bCs/>
          <w:smallCaps/>
        </w:rPr>
      </w:pPr>
      <w:r>
        <w:rPr>
          <w:b/>
          <w:bCs/>
          <w:smallCaps/>
        </w:rPr>
        <w:t xml:space="preserve">Indicative </w:t>
      </w:r>
      <w:hyperlink r:id="rId10" w:history="1">
        <w:r>
          <w:rPr>
            <w:b/>
            <w:bCs/>
            <w:smallCaps/>
          </w:rPr>
          <w:t>Co-financing</w:t>
        </w:r>
      </w:hyperlink>
      <w:r>
        <w:rPr>
          <w:b/>
          <w:bCs/>
          <w:smallCaps/>
        </w:rPr>
        <w:t xml:space="preserve"> for the project by source and by name if available, ($)</w:t>
      </w:r>
    </w:p>
    <w:tbl>
      <w:tblPr>
        <w:tblW w:w="532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9"/>
        <w:gridCol w:w="3158"/>
        <w:gridCol w:w="2255"/>
        <w:gridCol w:w="1368"/>
      </w:tblGrid>
      <w:tr w:rsidR="000D5083">
        <w:trPr>
          <w:cantSplit/>
        </w:trPr>
        <w:tc>
          <w:tcPr>
            <w:tcW w:w="1734" w:type="pct"/>
            <w:vAlign w:val="center"/>
          </w:tcPr>
          <w:p w:rsidR="000D5083" w:rsidRDefault="000D5083">
            <w:pPr>
              <w:jc w:val="center"/>
              <w:rPr>
                <w:b/>
                <w:bCs/>
              </w:rPr>
            </w:pPr>
            <w:r>
              <w:rPr>
                <w:b/>
                <w:bCs/>
                <w:sz w:val="22"/>
                <w:szCs w:val="22"/>
              </w:rPr>
              <w:t>Sources of Cofinancing</w:t>
            </w:r>
          </w:p>
        </w:tc>
        <w:tc>
          <w:tcPr>
            <w:tcW w:w="1521" w:type="pct"/>
            <w:vAlign w:val="center"/>
          </w:tcPr>
          <w:p w:rsidR="000D5083" w:rsidRDefault="000D5083">
            <w:pPr>
              <w:jc w:val="center"/>
              <w:rPr>
                <w:b/>
                <w:bCs/>
              </w:rPr>
            </w:pPr>
            <w:r>
              <w:rPr>
                <w:b/>
                <w:bCs/>
                <w:sz w:val="22"/>
                <w:szCs w:val="22"/>
              </w:rPr>
              <w:t>Name of Cofinancier</w:t>
            </w:r>
          </w:p>
        </w:tc>
        <w:tc>
          <w:tcPr>
            <w:tcW w:w="1086" w:type="pct"/>
            <w:vAlign w:val="center"/>
          </w:tcPr>
          <w:p w:rsidR="000D5083" w:rsidRDefault="000D5083">
            <w:pPr>
              <w:ind w:left="5"/>
              <w:jc w:val="center"/>
              <w:rPr>
                <w:b/>
                <w:bCs/>
              </w:rPr>
            </w:pPr>
            <w:r>
              <w:rPr>
                <w:b/>
                <w:bCs/>
                <w:sz w:val="22"/>
                <w:szCs w:val="22"/>
              </w:rPr>
              <w:t>Type of Cofinancing</w:t>
            </w:r>
          </w:p>
        </w:tc>
        <w:tc>
          <w:tcPr>
            <w:tcW w:w="659" w:type="pct"/>
            <w:vAlign w:val="center"/>
          </w:tcPr>
          <w:p w:rsidR="000D5083" w:rsidRDefault="000D5083">
            <w:pPr>
              <w:ind w:left="-6"/>
              <w:jc w:val="center"/>
              <w:rPr>
                <w:b/>
                <w:bCs/>
              </w:rPr>
            </w:pPr>
            <w:r>
              <w:rPr>
                <w:b/>
                <w:bCs/>
                <w:sz w:val="22"/>
                <w:szCs w:val="22"/>
              </w:rPr>
              <w:t>Amount ($)</w:t>
            </w:r>
          </w:p>
        </w:tc>
      </w:tr>
      <w:bookmarkStart w:id="178" w:name="SrcCo_01"/>
      <w:tr w:rsidR="000D5083">
        <w:trPr>
          <w:cantSplit/>
        </w:trPr>
        <w:tc>
          <w:tcPr>
            <w:tcW w:w="1734" w:type="pct"/>
          </w:tcPr>
          <w:p w:rsidR="000D5083" w:rsidRDefault="0082156C">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78"/>
          </w:p>
        </w:tc>
        <w:bookmarkStart w:id="179" w:name="CofinanciarName_01"/>
        <w:tc>
          <w:tcPr>
            <w:tcW w:w="1521" w:type="pct"/>
          </w:tcPr>
          <w:p w:rsidR="000D5083" w:rsidRDefault="0082156C">
            <w:pPr>
              <w:rPr>
                <w:sz w:val="20"/>
                <w:szCs w:val="20"/>
              </w:rPr>
            </w:pPr>
            <w:r>
              <w:rPr>
                <w:sz w:val="20"/>
                <w:szCs w:val="20"/>
              </w:rPr>
              <w:fldChar w:fldCharType="begin">
                <w:ffData>
                  <w:name w:val="CofinanciarName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MHE &amp; other ministries, agencies</w:t>
            </w:r>
            <w:r>
              <w:rPr>
                <w:sz w:val="20"/>
                <w:szCs w:val="20"/>
              </w:rPr>
              <w:fldChar w:fldCharType="end"/>
            </w:r>
            <w:bookmarkEnd w:id="179"/>
          </w:p>
        </w:tc>
        <w:bookmarkStart w:id="180" w:name="CofinType_01"/>
        <w:tc>
          <w:tcPr>
            <w:tcW w:w="1086" w:type="pct"/>
          </w:tcPr>
          <w:p w:rsidR="000D5083" w:rsidRDefault="0082156C">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180"/>
          </w:p>
        </w:tc>
        <w:bookmarkStart w:id="181" w:name="C_COAMT_01"/>
        <w:tc>
          <w:tcPr>
            <w:tcW w:w="659" w:type="pct"/>
          </w:tcPr>
          <w:p w:rsidR="000D5083" w:rsidRDefault="0082156C">
            <w:pPr>
              <w:ind w:left="-6"/>
              <w:jc w:val="right"/>
              <w:rPr>
                <w:sz w:val="20"/>
                <w:szCs w:val="20"/>
              </w:rPr>
            </w:pPr>
            <w:r>
              <w:rPr>
                <w:sz w:val="20"/>
                <w:szCs w:val="20"/>
              </w:rPr>
              <w:fldChar w:fldCharType="begin">
                <w:ffData>
                  <w:name w:val="C_COAMT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1500</w:t>
            </w:r>
            <w:bookmarkStart w:id="182" w:name="_GoBack"/>
            <w:bookmarkEnd w:id="182"/>
            <w:r w:rsidR="000D5083">
              <w:rPr>
                <w:noProof/>
                <w:sz w:val="20"/>
                <w:szCs w:val="20"/>
              </w:rPr>
              <w:t>000</w:t>
            </w:r>
            <w:r>
              <w:rPr>
                <w:sz w:val="20"/>
                <w:szCs w:val="20"/>
              </w:rPr>
              <w:fldChar w:fldCharType="end"/>
            </w:r>
            <w:bookmarkEnd w:id="181"/>
          </w:p>
        </w:tc>
      </w:tr>
      <w:bookmarkStart w:id="183" w:name="SrcCo_02"/>
      <w:tr w:rsidR="000D5083">
        <w:trPr>
          <w:cantSplit/>
        </w:trPr>
        <w:tc>
          <w:tcPr>
            <w:tcW w:w="1734" w:type="pct"/>
          </w:tcPr>
          <w:p w:rsidR="000D5083" w:rsidRDefault="0082156C">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83"/>
          </w:p>
        </w:tc>
        <w:bookmarkStart w:id="184" w:name="CofinanciarName_02"/>
        <w:tc>
          <w:tcPr>
            <w:tcW w:w="1521" w:type="pct"/>
          </w:tcPr>
          <w:p w:rsidR="000D5083" w:rsidRDefault="0082156C">
            <w:pPr>
              <w:rPr>
                <w:sz w:val="20"/>
                <w:szCs w:val="20"/>
              </w:rPr>
            </w:pPr>
            <w:r>
              <w:rPr>
                <w:sz w:val="20"/>
                <w:szCs w:val="20"/>
              </w:rPr>
              <w:fldChar w:fldCharType="begin">
                <w:ffData>
                  <w:name w:val="CofinanciarName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STELCO &amp; other utilities</w:t>
            </w:r>
            <w:r>
              <w:rPr>
                <w:sz w:val="20"/>
                <w:szCs w:val="20"/>
              </w:rPr>
              <w:fldChar w:fldCharType="end"/>
            </w:r>
            <w:bookmarkEnd w:id="184"/>
          </w:p>
        </w:tc>
        <w:bookmarkStart w:id="185" w:name="CofinType_02"/>
        <w:tc>
          <w:tcPr>
            <w:tcW w:w="1086" w:type="pct"/>
          </w:tcPr>
          <w:p w:rsidR="000D5083" w:rsidRDefault="0082156C">
            <w:pPr>
              <w:ind w:left="5"/>
              <w:rPr>
                <w:sz w:val="20"/>
                <w:szCs w:val="20"/>
              </w:rPr>
            </w:pPr>
            <w:r>
              <w:rPr>
                <w:sz w:val="20"/>
                <w:szCs w:val="20"/>
              </w:rPr>
              <w:fldChar w:fldCharType="begin">
                <w:ffData>
                  <w:name w:val="CofinType_02"/>
                  <w:enabled/>
                  <w:calcOnExit w:val="0"/>
                  <w:ddList>
                    <w:result w:val="6"/>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185"/>
          </w:p>
        </w:tc>
        <w:bookmarkStart w:id="186" w:name="C_COAMT_02"/>
        <w:tc>
          <w:tcPr>
            <w:tcW w:w="659" w:type="pct"/>
          </w:tcPr>
          <w:p w:rsidR="000D5083" w:rsidRDefault="0082156C">
            <w:pPr>
              <w:ind w:left="-6"/>
              <w:jc w:val="right"/>
              <w:rPr>
                <w:sz w:val="20"/>
                <w:szCs w:val="20"/>
              </w:rPr>
            </w:pPr>
            <w:r>
              <w:rPr>
                <w:sz w:val="20"/>
                <w:szCs w:val="20"/>
              </w:rPr>
              <w:fldChar w:fldCharType="begin">
                <w:ffData>
                  <w:name w:val="C_COAMT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1000000</w:t>
            </w:r>
            <w:r>
              <w:rPr>
                <w:sz w:val="20"/>
                <w:szCs w:val="20"/>
              </w:rPr>
              <w:fldChar w:fldCharType="end"/>
            </w:r>
            <w:bookmarkEnd w:id="186"/>
          </w:p>
        </w:tc>
      </w:tr>
      <w:bookmarkStart w:id="187" w:name="SrcCo_03"/>
      <w:tr w:rsidR="000D5083">
        <w:trPr>
          <w:cantSplit/>
        </w:trPr>
        <w:tc>
          <w:tcPr>
            <w:tcW w:w="1734" w:type="pct"/>
          </w:tcPr>
          <w:p w:rsidR="000D5083" w:rsidRDefault="0082156C">
            <w:pPr>
              <w:rPr>
                <w:sz w:val="20"/>
                <w:szCs w:val="20"/>
              </w:rPr>
            </w:pPr>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87"/>
          </w:p>
        </w:tc>
        <w:bookmarkStart w:id="188" w:name="CofinanciarName_03"/>
        <w:tc>
          <w:tcPr>
            <w:tcW w:w="1521" w:type="pct"/>
          </w:tcPr>
          <w:p w:rsidR="000D5083" w:rsidRDefault="0082156C">
            <w:pPr>
              <w:rPr>
                <w:sz w:val="20"/>
                <w:szCs w:val="20"/>
              </w:rPr>
            </w:pPr>
            <w:r>
              <w:rPr>
                <w:sz w:val="20"/>
                <w:szCs w:val="20"/>
              </w:rPr>
              <w:fldChar w:fldCharType="begin">
                <w:ffData>
                  <w:name w:val="CofinanciarName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UNEP</w:t>
            </w:r>
            <w:r>
              <w:rPr>
                <w:sz w:val="20"/>
                <w:szCs w:val="20"/>
              </w:rPr>
              <w:fldChar w:fldCharType="end"/>
            </w:r>
            <w:bookmarkEnd w:id="188"/>
          </w:p>
        </w:tc>
        <w:bookmarkStart w:id="189" w:name="CofinType_03"/>
        <w:tc>
          <w:tcPr>
            <w:tcW w:w="1086" w:type="pct"/>
          </w:tcPr>
          <w:p w:rsidR="000D5083" w:rsidRDefault="0082156C">
            <w:pPr>
              <w:ind w:left="5"/>
              <w:rPr>
                <w:sz w:val="20"/>
                <w:szCs w:val="20"/>
              </w:rPr>
            </w:pPr>
            <w:r>
              <w:rPr>
                <w:sz w:val="20"/>
                <w:szCs w:val="20"/>
              </w:rPr>
              <w:fldChar w:fldCharType="begin">
                <w:ffData>
                  <w:name w:val="CofinType_03"/>
                  <w:enabled/>
                  <w:calcOnExit w:val="0"/>
                  <w:ddList>
                    <w:result w:val="1"/>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189"/>
          </w:p>
        </w:tc>
        <w:bookmarkStart w:id="190" w:name="C_COAMT_03"/>
        <w:tc>
          <w:tcPr>
            <w:tcW w:w="659" w:type="pct"/>
          </w:tcPr>
          <w:p w:rsidR="000D5083" w:rsidRDefault="0082156C">
            <w:pPr>
              <w:ind w:left="-6"/>
              <w:jc w:val="right"/>
              <w:rPr>
                <w:sz w:val="20"/>
                <w:szCs w:val="20"/>
              </w:rPr>
            </w:pPr>
            <w:r>
              <w:rPr>
                <w:sz w:val="20"/>
                <w:szCs w:val="20"/>
              </w:rPr>
              <w:fldChar w:fldCharType="begin">
                <w:ffData>
                  <w:name w:val="C_COAMT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500000</w:t>
            </w:r>
            <w:r>
              <w:rPr>
                <w:sz w:val="20"/>
                <w:szCs w:val="20"/>
              </w:rPr>
              <w:fldChar w:fldCharType="end"/>
            </w:r>
            <w:bookmarkEnd w:id="190"/>
          </w:p>
        </w:tc>
      </w:tr>
      <w:bookmarkStart w:id="191" w:name="SrcCo_04"/>
      <w:tr w:rsidR="000D5083">
        <w:trPr>
          <w:cantSplit/>
        </w:trPr>
        <w:tc>
          <w:tcPr>
            <w:tcW w:w="1734" w:type="pct"/>
          </w:tcPr>
          <w:p w:rsidR="000D5083" w:rsidRDefault="0082156C">
            <w:pPr>
              <w:rPr>
                <w:sz w:val="20"/>
                <w:szCs w:val="20"/>
              </w:rPr>
            </w:pPr>
            <w:r>
              <w:rPr>
                <w:sz w:val="20"/>
                <w:szCs w:val="20"/>
              </w:rPr>
              <w:fldChar w:fldCharType="begin">
                <w:ffData>
                  <w:name w:val="SrcCo_04"/>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91"/>
          </w:p>
        </w:tc>
        <w:bookmarkStart w:id="192" w:name="CofinanciarName_04"/>
        <w:tc>
          <w:tcPr>
            <w:tcW w:w="1521" w:type="pct"/>
          </w:tcPr>
          <w:p w:rsidR="000D5083" w:rsidRDefault="0082156C">
            <w:pPr>
              <w:rPr>
                <w:sz w:val="20"/>
                <w:szCs w:val="20"/>
              </w:rPr>
            </w:pPr>
            <w:r>
              <w:rPr>
                <w:sz w:val="20"/>
                <w:szCs w:val="20"/>
              </w:rPr>
              <w:fldChar w:fldCharType="begin">
                <w:ffData>
                  <w:name w:val="CofinanciarName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UNOPS</w:t>
            </w:r>
            <w:r>
              <w:rPr>
                <w:sz w:val="20"/>
                <w:szCs w:val="20"/>
              </w:rPr>
              <w:fldChar w:fldCharType="end"/>
            </w:r>
            <w:bookmarkEnd w:id="192"/>
          </w:p>
        </w:tc>
        <w:bookmarkStart w:id="193" w:name="CofinType_04"/>
        <w:tc>
          <w:tcPr>
            <w:tcW w:w="1086" w:type="pct"/>
          </w:tcPr>
          <w:p w:rsidR="000D5083" w:rsidRDefault="0082156C">
            <w:pPr>
              <w:ind w:left="5"/>
              <w:rPr>
                <w:sz w:val="20"/>
                <w:szCs w:val="20"/>
              </w:rPr>
            </w:pPr>
            <w:r>
              <w:rPr>
                <w:sz w:val="20"/>
                <w:szCs w:val="20"/>
              </w:rPr>
              <w:fldChar w:fldCharType="begin">
                <w:ffData>
                  <w:name w:val="CofinType_04"/>
                  <w:enabled/>
                  <w:calcOnExit w:val="0"/>
                  <w:ddList>
                    <w:result w:val="1"/>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193"/>
          </w:p>
        </w:tc>
        <w:bookmarkStart w:id="194" w:name="C_COAMT_04"/>
        <w:tc>
          <w:tcPr>
            <w:tcW w:w="659" w:type="pct"/>
          </w:tcPr>
          <w:p w:rsidR="000D5083" w:rsidRDefault="0082156C">
            <w:pPr>
              <w:ind w:left="-6"/>
              <w:jc w:val="right"/>
              <w:rPr>
                <w:sz w:val="20"/>
                <w:szCs w:val="20"/>
              </w:rPr>
            </w:pPr>
            <w:r>
              <w:rPr>
                <w:sz w:val="20"/>
                <w:szCs w:val="20"/>
              </w:rPr>
              <w:fldChar w:fldCharType="begin">
                <w:ffData>
                  <w:name w:val="C_COAMT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350000</w:t>
            </w:r>
            <w:r>
              <w:rPr>
                <w:sz w:val="20"/>
                <w:szCs w:val="20"/>
              </w:rPr>
              <w:fldChar w:fldCharType="end"/>
            </w:r>
            <w:bookmarkEnd w:id="194"/>
          </w:p>
        </w:tc>
      </w:tr>
      <w:bookmarkStart w:id="195" w:name="SrcCo_05"/>
      <w:tr w:rsidR="000D5083">
        <w:trPr>
          <w:cantSplit/>
        </w:trPr>
        <w:tc>
          <w:tcPr>
            <w:tcW w:w="1734" w:type="pct"/>
          </w:tcPr>
          <w:p w:rsidR="000D5083" w:rsidRDefault="0082156C">
            <w:pPr>
              <w:rPr>
                <w:sz w:val="20"/>
                <w:szCs w:val="20"/>
              </w:rPr>
            </w:pPr>
            <w:r>
              <w:rPr>
                <w:sz w:val="20"/>
                <w:szCs w:val="20"/>
              </w:rPr>
              <w:fldChar w:fldCharType="begin">
                <w:ffData>
                  <w:name w:val="SrcCo_05"/>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95"/>
          </w:p>
        </w:tc>
        <w:bookmarkStart w:id="196" w:name="CofinanciarName_05"/>
        <w:tc>
          <w:tcPr>
            <w:tcW w:w="1521" w:type="pct"/>
          </w:tcPr>
          <w:p w:rsidR="000D5083" w:rsidRDefault="0082156C">
            <w:pPr>
              <w:rPr>
                <w:sz w:val="20"/>
                <w:szCs w:val="20"/>
              </w:rPr>
            </w:pPr>
            <w:r>
              <w:rPr>
                <w:sz w:val="20"/>
                <w:szCs w:val="20"/>
              </w:rPr>
              <w:fldChar w:fldCharType="begin">
                <w:ffData>
                  <w:name w:val="CofinanciarName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UN-DESA</w:t>
            </w:r>
            <w:r>
              <w:rPr>
                <w:sz w:val="20"/>
                <w:szCs w:val="20"/>
              </w:rPr>
              <w:fldChar w:fldCharType="end"/>
            </w:r>
            <w:bookmarkEnd w:id="196"/>
          </w:p>
        </w:tc>
        <w:bookmarkStart w:id="197" w:name="CofinType_05"/>
        <w:tc>
          <w:tcPr>
            <w:tcW w:w="1086" w:type="pct"/>
          </w:tcPr>
          <w:p w:rsidR="000D5083" w:rsidRDefault="0082156C">
            <w:pPr>
              <w:ind w:left="5"/>
              <w:rPr>
                <w:sz w:val="20"/>
                <w:szCs w:val="20"/>
              </w:rPr>
            </w:pPr>
            <w:r>
              <w:rPr>
                <w:sz w:val="20"/>
                <w:szCs w:val="20"/>
              </w:rPr>
              <w:fldChar w:fldCharType="begin">
                <w:ffData>
                  <w:name w:val="CofinType_05"/>
                  <w:enabled/>
                  <w:calcOnExit w:val="0"/>
                  <w:ddList>
                    <w:result w:val="1"/>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197"/>
          </w:p>
        </w:tc>
        <w:bookmarkStart w:id="198" w:name="C_COAMT_05"/>
        <w:tc>
          <w:tcPr>
            <w:tcW w:w="659" w:type="pct"/>
          </w:tcPr>
          <w:p w:rsidR="000D5083" w:rsidRDefault="0082156C">
            <w:pPr>
              <w:ind w:left="-6"/>
              <w:jc w:val="right"/>
              <w:rPr>
                <w:sz w:val="20"/>
                <w:szCs w:val="20"/>
              </w:rPr>
            </w:pPr>
            <w:r>
              <w:rPr>
                <w:sz w:val="20"/>
                <w:szCs w:val="20"/>
              </w:rPr>
              <w:fldChar w:fldCharType="begin">
                <w:ffData>
                  <w:name w:val="C_COAMT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425000</w:t>
            </w:r>
            <w:r>
              <w:rPr>
                <w:sz w:val="20"/>
                <w:szCs w:val="20"/>
              </w:rPr>
              <w:fldChar w:fldCharType="end"/>
            </w:r>
            <w:bookmarkEnd w:id="198"/>
          </w:p>
        </w:tc>
      </w:tr>
      <w:bookmarkStart w:id="199" w:name="SrcCo_06"/>
      <w:tr w:rsidR="000D5083">
        <w:trPr>
          <w:cantSplit/>
        </w:trPr>
        <w:tc>
          <w:tcPr>
            <w:tcW w:w="1734" w:type="pct"/>
          </w:tcPr>
          <w:p w:rsidR="000D5083" w:rsidRDefault="0082156C">
            <w:pPr>
              <w:rPr>
                <w:sz w:val="20"/>
                <w:szCs w:val="20"/>
              </w:rPr>
            </w:pPr>
            <w:r>
              <w:rPr>
                <w:sz w:val="20"/>
                <w:szCs w:val="20"/>
              </w:rPr>
              <w:fldChar w:fldCharType="begin">
                <w:ffData>
                  <w:name w:val="SrcCo_06"/>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199"/>
          </w:p>
        </w:tc>
        <w:bookmarkStart w:id="200" w:name="CofinanciarName_06"/>
        <w:tc>
          <w:tcPr>
            <w:tcW w:w="1521" w:type="pct"/>
          </w:tcPr>
          <w:p w:rsidR="000D5083" w:rsidRDefault="0082156C">
            <w:pPr>
              <w:rPr>
                <w:sz w:val="20"/>
                <w:szCs w:val="20"/>
              </w:rPr>
            </w:pPr>
            <w:r>
              <w:rPr>
                <w:sz w:val="20"/>
                <w:szCs w:val="20"/>
              </w:rPr>
              <w:fldChar w:fldCharType="begin">
                <w:ffData>
                  <w:name w:val="CofinanciarName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Maldives Polytechnic</w:t>
            </w:r>
            <w:r>
              <w:rPr>
                <w:sz w:val="20"/>
                <w:szCs w:val="20"/>
              </w:rPr>
              <w:fldChar w:fldCharType="end"/>
            </w:r>
            <w:bookmarkEnd w:id="200"/>
          </w:p>
        </w:tc>
        <w:bookmarkStart w:id="201" w:name="CofinType_06"/>
        <w:tc>
          <w:tcPr>
            <w:tcW w:w="1086" w:type="pct"/>
          </w:tcPr>
          <w:p w:rsidR="000D5083" w:rsidRDefault="0082156C">
            <w:pPr>
              <w:ind w:left="5"/>
              <w:rPr>
                <w:sz w:val="20"/>
                <w:szCs w:val="20"/>
              </w:rPr>
            </w:pPr>
            <w:r>
              <w:rPr>
                <w:sz w:val="20"/>
                <w:szCs w:val="20"/>
              </w:rPr>
              <w:fldChar w:fldCharType="begin">
                <w:ffData>
                  <w:name w:val="CofinType_06"/>
                  <w:enabled/>
                  <w:calcOnExit w:val="0"/>
                  <w:ddList>
                    <w:result w:val="5"/>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201"/>
          </w:p>
        </w:tc>
        <w:bookmarkStart w:id="202" w:name="C_COAMT_06"/>
        <w:tc>
          <w:tcPr>
            <w:tcW w:w="659" w:type="pct"/>
          </w:tcPr>
          <w:p w:rsidR="000D5083" w:rsidRDefault="0082156C">
            <w:pPr>
              <w:ind w:left="-6"/>
              <w:jc w:val="right"/>
              <w:rPr>
                <w:sz w:val="20"/>
                <w:szCs w:val="20"/>
              </w:rPr>
            </w:pPr>
            <w:r>
              <w:rPr>
                <w:sz w:val="20"/>
                <w:szCs w:val="20"/>
              </w:rPr>
              <w:fldChar w:fldCharType="begin">
                <w:ffData>
                  <w:name w:val="C_COAMT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200000</w:t>
            </w:r>
            <w:r>
              <w:rPr>
                <w:sz w:val="20"/>
                <w:szCs w:val="20"/>
              </w:rPr>
              <w:fldChar w:fldCharType="end"/>
            </w:r>
            <w:bookmarkEnd w:id="202"/>
          </w:p>
        </w:tc>
      </w:tr>
      <w:bookmarkStart w:id="203" w:name="SrcCo_07"/>
      <w:tr w:rsidR="000D5083">
        <w:trPr>
          <w:cantSplit/>
        </w:trPr>
        <w:tc>
          <w:tcPr>
            <w:tcW w:w="1734" w:type="pct"/>
          </w:tcPr>
          <w:p w:rsidR="000D5083" w:rsidRDefault="0082156C">
            <w:pPr>
              <w:rPr>
                <w:sz w:val="20"/>
                <w:szCs w:val="20"/>
              </w:rPr>
            </w:pPr>
            <w:r>
              <w:rPr>
                <w:sz w:val="20"/>
                <w:szCs w:val="20"/>
              </w:rPr>
              <w:fldChar w:fldCharType="begin">
                <w:ffData>
                  <w:name w:val="SrcCo_07"/>
                  <w:enabled/>
                  <w:calcOnExit w:val="0"/>
                  <w:ddList>
                    <w:result w:val="8"/>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203"/>
          </w:p>
        </w:tc>
        <w:bookmarkStart w:id="204" w:name="CofinanciarName_07"/>
        <w:tc>
          <w:tcPr>
            <w:tcW w:w="1521" w:type="pct"/>
          </w:tcPr>
          <w:p w:rsidR="000D5083" w:rsidRDefault="0082156C">
            <w:pPr>
              <w:rPr>
                <w:sz w:val="20"/>
                <w:szCs w:val="20"/>
              </w:rPr>
            </w:pPr>
            <w:r>
              <w:rPr>
                <w:sz w:val="20"/>
                <w:szCs w:val="20"/>
              </w:rPr>
              <w:fldChar w:fldCharType="begin">
                <w:ffData>
                  <w:name w:val="CofinanciarName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Energy Service Companies(ESCOs)</w:t>
            </w:r>
            <w:r>
              <w:rPr>
                <w:sz w:val="20"/>
                <w:szCs w:val="20"/>
              </w:rPr>
              <w:fldChar w:fldCharType="end"/>
            </w:r>
            <w:bookmarkEnd w:id="204"/>
          </w:p>
        </w:tc>
        <w:bookmarkStart w:id="205" w:name="CofinType_07"/>
        <w:tc>
          <w:tcPr>
            <w:tcW w:w="1086" w:type="pct"/>
          </w:tcPr>
          <w:p w:rsidR="000D5083" w:rsidRDefault="0082156C">
            <w:pPr>
              <w:ind w:left="5"/>
              <w:rPr>
                <w:sz w:val="20"/>
                <w:szCs w:val="20"/>
              </w:rPr>
            </w:pPr>
            <w:r>
              <w:rPr>
                <w:sz w:val="20"/>
                <w:szCs w:val="20"/>
              </w:rPr>
              <w:fldChar w:fldCharType="begin">
                <w:ffData>
                  <w:name w:val="CofinType_07"/>
                  <w:enabled/>
                  <w:calcOnExit w:val="0"/>
                  <w:ddList>
                    <w:result w:val="6"/>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205"/>
          </w:p>
        </w:tc>
        <w:bookmarkStart w:id="206" w:name="C_COAMT_07"/>
        <w:tc>
          <w:tcPr>
            <w:tcW w:w="659" w:type="pct"/>
          </w:tcPr>
          <w:p w:rsidR="000D5083" w:rsidRDefault="0082156C">
            <w:pPr>
              <w:ind w:left="-6"/>
              <w:jc w:val="right"/>
              <w:rPr>
                <w:sz w:val="20"/>
                <w:szCs w:val="20"/>
              </w:rPr>
            </w:pPr>
            <w:r>
              <w:rPr>
                <w:sz w:val="20"/>
                <w:szCs w:val="20"/>
              </w:rPr>
              <w:fldChar w:fldCharType="begin">
                <w:ffData>
                  <w:name w:val="C_COAMT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550000</w:t>
            </w:r>
            <w:r>
              <w:rPr>
                <w:sz w:val="20"/>
                <w:szCs w:val="20"/>
              </w:rPr>
              <w:fldChar w:fldCharType="end"/>
            </w:r>
            <w:bookmarkEnd w:id="206"/>
          </w:p>
        </w:tc>
      </w:tr>
      <w:bookmarkStart w:id="207" w:name="SrcCo_08"/>
      <w:tr w:rsidR="000D5083">
        <w:trPr>
          <w:cantSplit/>
        </w:trPr>
        <w:tc>
          <w:tcPr>
            <w:tcW w:w="1734" w:type="pct"/>
          </w:tcPr>
          <w:p w:rsidR="000D5083" w:rsidRDefault="0082156C">
            <w:pPr>
              <w:rPr>
                <w:sz w:val="20"/>
                <w:szCs w:val="20"/>
              </w:rPr>
            </w:pPr>
            <w:r>
              <w:rPr>
                <w:sz w:val="20"/>
                <w:szCs w:val="20"/>
              </w:rPr>
              <w:fldChar w:fldCharType="begin">
                <w:ffData>
                  <w:name w:val="SrcCo_08"/>
                  <w:enabled/>
                  <w:calcOnExit w:val="0"/>
                  <w:ddList>
                    <w:result w:val="8"/>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207"/>
          </w:p>
        </w:tc>
        <w:bookmarkStart w:id="208" w:name="CofinanciarName_08"/>
        <w:tc>
          <w:tcPr>
            <w:tcW w:w="1521" w:type="pct"/>
          </w:tcPr>
          <w:p w:rsidR="000D5083" w:rsidRDefault="0082156C">
            <w:pPr>
              <w:rPr>
                <w:sz w:val="20"/>
                <w:szCs w:val="20"/>
              </w:rPr>
            </w:pPr>
            <w:r>
              <w:rPr>
                <w:sz w:val="20"/>
                <w:szCs w:val="20"/>
              </w:rPr>
              <w:fldChar w:fldCharType="begin">
                <w:ffData>
                  <w:name w:val="CofinanciarName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Bldg users (e.g.; MACI, MATI)</w:t>
            </w:r>
            <w:r>
              <w:rPr>
                <w:sz w:val="20"/>
                <w:szCs w:val="20"/>
              </w:rPr>
              <w:fldChar w:fldCharType="end"/>
            </w:r>
            <w:bookmarkEnd w:id="208"/>
          </w:p>
        </w:tc>
        <w:bookmarkStart w:id="209" w:name="CofinType_08"/>
        <w:tc>
          <w:tcPr>
            <w:tcW w:w="1086" w:type="pct"/>
          </w:tcPr>
          <w:p w:rsidR="000D5083" w:rsidRDefault="0082156C">
            <w:pPr>
              <w:ind w:left="5"/>
              <w:rPr>
                <w:sz w:val="20"/>
                <w:szCs w:val="20"/>
              </w:rPr>
            </w:pPr>
            <w:r>
              <w:rPr>
                <w:sz w:val="20"/>
                <w:szCs w:val="20"/>
              </w:rPr>
              <w:fldChar w:fldCharType="begin">
                <w:ffData>
                  <w:name w:val="CofinType_08"/>
                  <w:enabled/>
                  <w:calcOnExit w:val="0"/>
                  <w:ddList>
                    <w:result w:val="6"/>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209"/>
          </w:p>
        </w:tc>
        <w:bookmarkStart w:id="210" w:name="C_COAMT_08"/>
        <w:tc>
          <w:tcPr>
            <w:tcW w:w="659" w:type="pct"/>
          </w:tcPr>
          <w:p w:rsidR="000D5083" w:rsidRDefault="0082156C">
            <w:pPr>
              <w:ind w:left="-6"/>
              <w:jc w:val="right"/>
              <w:rPr>
                <w:sz w:val="20"/>
                <w:szCs w:val="20"/>
              </w:rPr>
            </w:pPr>
            <w:r>
              <w:rPr>
                <w:sz w:val="20"/>
                <w:szCs w:val="20"/>
              </w:rPr>
              <w:fldChar w:fldCharType="begin">
                <w:ffData>
                  <w:name w:val="C_COAMT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2000000</w:t>
            </w:r>
            <w:r>
              <w:rPr>
                <w:sz w:val="20"/>
                <w:szCs w:val="20"/>
              </w:rPr>
              <w:fldChar w:fldCharType="end"/>
            </w:r>
            <w:bookmarkEnd w:id="210"/>
          </w:p>
        </w:tc>
      </w:tr>
      <w:bookmarkStart w:id="211" w:name="SrcCo_09"/>
      <w:tr w:rsidR="000D5083">
        <w:trPr>
          <w:cantSplit/>
        </w:trPr>
        <w:tc>
          <w:tcPr>
            <w:tcW w:w="1734" w:type="pct"/>
          </w:tcPr>
          <w:p w:rsidR="000D5083" w:rsidRDefault="0082156C">
            <w:pPr>
              <w:rPr>
                <w:sz w:val="20"/>
                <w:szCs w:val="20"/>
              </w:rPr>
            </w:pPr>
            <w:r>
              <w:rPr>
                <w:sz w:val="20"/>
                <w:szCs w:val="20"/>
              </w:rPr>
              <w:fldChar w:fldCharType="begin">
                <w:ffData>
                  <w:name w:val="SrcCo_09"/>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211"/>
          </w:p>
        </w:tc>
        <w:bookmarkStart w:id="212" w:name="CofinanciarName_09"/>
        <w:tc>
          <w:tcPr>
            <w:tcW w:w="1521" w:type="pct"/>
          </w:tcPr>
          <w:p w:rsidR="000D5083" w:rsidRDefault="0082156C">
            <w:pPr>
              <w:rPr>
                <w:sz w:val="20"/>
                <w:szCs w:val="20"/>
              </w:rPr>
            </w:pPr>
            <w:r>
              <w:rPr>
                <w:sz w:val="20"/>
                <w:szCs w:val="20"/>
              </w:rPr>
              <w:fldChar w:fldCharType="begin">
                <w:ffData>
                  <w:name w:val="CofinanciarName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China, India, Japan (with grant)</w:t>
            </w:r>
            <w:r>
              <w:rPr>
                <w:sz w:val="20"/>
                <w:szCs w:val="20"/>
              </w:rPr>
              <w:fldChar w:fldCharType="end"/>
            </w:r>
            <w:bookmarkEnd w:id="212"/>
          </w:p>
        </w:tc>
        <w:bookmarkStart w:id="213" w:name="CofinType_09"/>
        <w:tc>
          <w:tcPr>
            <w:tcW w:w="1086" w:type="pct"/>
          </w:tcPr>
          <w:p w:rsidR="000D5083" w:rsidRDefault="0082156C">
            <w:pPr>
              <w:ind w:left="5"/>
              <w:rPr>
                <w:sz w:val="20"/>
                <w:szCs w:val="20"/>
              </w:rPr>
            </w:pPr>
            <w:r>
              <w:rPr>
                <w:sz w:val="20"/>
                <w:szCs w:val="20"/>
              </w:rPr>
              <w:fldChar w:fldCharType="begin">
                <w:ffData>
                  <w:name w:val="CofinType_09"/>
                  <w:enabled/>
                  <w:calcOnExit w:val="0"/>
                  <w:ddList>
                    <w:result w:val="2"/>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213"/>
          </w:p>
        </w:tc>
        <w:bookmarkStart w:id="214" w:name="C_COAMT_09"/>
        <w:tc>
          <w:tcPr>
            <w:tcW w:w="659" w:type="pct"/>
          </w:tcPr>
          <w:p w:rsidR="000D5083" w:rsidRDefault="0082156C">
            <w:pPr>
              <w:ind w:left="-6"/>
              <w:jc w:val="right"/>
              <w:rPr>
                <w:sz w:val="20"/>
                <w:szCs w:val="20"/>
              </w:rPr>
            </w:pPr>
            <w:r>
              <w:rPr>
                <w:sz w:val="20"/>
                <w:szCs w:val="20"/>
              </w:rPr>
              <w:fldChar w:fldCharType="begin">
                <w:ffData>
                  <w:name w:val="C_COAMT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14725000</w:t>
            </w:r>
            <w:r>
              <w:rPr>
                <w:sz w:val="20"/>
                <w:szCs w:val="20"/>
              </w:rPr>
              <w:fldChar w:fldCharType="end"/>
            </w:r>
            <w:bookmarkEnd w:id="214"/>
          </w:p>
        </w:tc>
      </w:tr>
      <w:bookmarkStart w:id="215" w:name="SrcCo_010"/>
      <w:tr w:rsidR="000D5083">
        <w:trPr>
          <w:cantSplit/>
        </w:trPr>
        <w:tc>
          <w:tcPr>
            <w:tcW w:w="1734" w:type="pct"/>
          </w:tcPr>
          <w:p w:rsidR="000D5083" w:rsidRDefault="0082156C">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D5083">
              <w:rPr>
                <w:sz w:val="20"/>
                <w:szCs w:val="20"/>
              </w:rPr>
              <w:instrText xml:space="preserve"> FORMDROPDOWN </w:instrText>
            </w:r>
            <w:r>
              <w:rPr>
                <w:sz w:val="20"/>
                <w:szCs w:val="20"/>
              </w:rPr>
            </w:r>
            <w:r>
              <w:rPr>
                <w:sz w:val="20"/>
                <w:szCs w:val="20"/>
              </w:rPr>
              <w:fldChar w:fldCharType="end"/>
            </w:r>
            <w:bookmarkEnd w:id="215"/>
          </w:p>
        </w:tc>
        <w:bookmarkStart w:id="216" w:name="CofinanciarName_010"/>
        <w:tc>
          <w:tcPr>
            <w:tcW w:w="1521" w:type="pct"/>
          </w:tcPr>
          <w:p w:rsidR="000D5083" w:rsidRDefault="0082156C">
            <w:pPr>
              <w:rPr>
                <w:sz w:val="20"/>
                <w:szCs w:val="20"/>
              </w:rPr>
            </w:pPr>
            <w:r>
              <w:rPr>
                <w:sz w:val="20"/>
                <w:szCs w:val="20"/>
              </w:rPr>
              <w:fldChar w:fldCharType="begin">
                <w:ffData>
                  <w:name w:val="CofinanciarName_010"/>
                  <w:enabled/>
                  <w:calcOnExit w:val="0"/>
                  <w:textInput/>
                </w:ffData>
              </w:fldChar>
            </w:r>
            <w:r w:rsidR="000D5083">
              <w:rPr>
                <w:sz w:val="20"/>
                <w:szCs w:val="20"/>
              </w:rPr>
              <w:instrText xml:space="preserve"> FORMTEXT </w:instrText>
            </w:r>
            <w:r>
              <w:rPr>
                <w:sz w:val="20"/>
                <w:szCs w:val="20"/>
              </w:rPr>
            </w:r>
            <w:r>
              <w:rPr>
                <w:sz w:val="20"/>
                <w:szCs w:val="20"/>
              </w:rPr>
              <w:fldChar w:fldCharType="end"/>
            </w:r>
            <w:bookmarkEnd w:id="216"/>
          </w:p>
        </w:tc>
        <w:bookmarkStart w:id="217" w:name="CofinType_010"/>
        <w:tc>
          <w:tcPr>
            <w:tcW w:w="1086" w:type="pct"/>
          </w:tcPr>
          <w:p w:rsidR="000D5083" w:rsidRDefault="0082156C">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0D5083">
              <w:rPr>
                <w:sz w:val="20"/>
                <w:szCs w:val="20"/>
              </w:rPr>
              <w:instrText xml:space="preserve"> FORMDROPDOWN </w:instrText>
            </w:r>
            <w:r>
              <w:rPr>
                <w:sz w:val="20"/>
                <w:szCs w:val="20"/>
              </w:rPr>
            </w:r>
            <w:r>
              <w:rPr>
                <w:sz w:val="20"/>
                <w:szCs w:val="20"/>
              </w:rPr>
              <w:fldChar w:fldCharType="end"/>
            </w:r>
            <w:bookmarkEnd w:id="217"/>
          </w:p>
        </w:tc>
        <w:bookmarkStart w:id="218" w:name="C_COAMT_010"/>
        <w:tc>
          <w:tcPr>
            <w:tcW w:w="659" w:type="pct"/>
          </w:tcPr>
          <w:p w:rsidR="000D5083" w:rsidRDefault="0082156C">
            <w:pPr>
              <w:ind w:left="-6"/>
              <w:jc w:val="right"/>
              <w:rPr>
                <w:sz w:val="20"/>
                <w:szCs w:val="20"/>
              </w:rPr>
            </w:pPr>
            <w:r>
              <w:rPr>
                <w:sz w:val="20"/>
                <w:szCs w:val="20"/>
              </w:rPr>
              <w:fldChar w:fldCharType="begin">
                <w:ffData>
                  <w:name w:val="C_COAMT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18"/>
          </w:p>
        </w:tc>
      </w:tr>
      <w:tr w:rsidR="000D5083">
        <w:trPr>
          <w:cantSplit/>
          <w:hidden/>
        </w:trPr>
        <w:tc>
          <w:tcPr>
            <w:tcW w:w="1734" w:type="pct"/>
          </w:tcPr>
          <w:p w:rsidR="000D5083" w:rsidRDefault="0082156C">
            <w:pPr>
              <w:rPr>
                <w:vanish/>
                <w:sz w:val="20"/>
                <w:szCs w:val="20"/>
              </w:rPr>
            </w:pPr>
            <w:r>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0D5083">
              <w:rPr>
                <w:vanish/>
                <w:sz w:val="20"/>
                <w:szCs w:val="20"/>
              </w:rPr>
              <w:instrText xml:space="preserve"> FORMDROPDOWN </w:instrText>
            </w:r>
            <w:r>
              <w:rPr>
                <w:vanish/>
                <w:sz w:val="20"/>
                <w:szCs w:val="20"/>
              </w:rPr>
            </w:r>
            <w:r>
              <w:rPr>
                <w:vanish/>
                <w:sz w:val="20"/>
                <w:szCs w:val="20"/>
              </w:rPr>
              <w:fldChar w:fldCharType="end"/>
            </w:r>
          </w:p>
        </w:tc>
        <w:tc>
          <w:tcPr>
            <w:tcW w:w="1521" w:type="pct"/>
          </w:tcPr>
          <w:p w:rsidR="000D5083" w:rsidRDefault="0082156C">
            <w:pPr>
              <w:rPr>
                <w:vanish/>
                <w:sz w:val="20"/>
                <w:szCs w:val="20"/>
              </w:rPr>
            </w:pPr>
            <w:r>
              <w:rPr>
                <w:vanish/>
                <w:sz w:val="20"/>
                <w:szCs w:val="20"/>
              </w:rPr>
              <w:fldChar w:fldCharType="begin">
                <w:ffData>
                  <w:name w:val="nameOfCofin_05"/>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tc>
          <w:tcPr>
            <w:tcW w:w="1086" w:type="pct"/>
          </w:tcPr>
          <w:p w:rsidR="000D5083" w:rsidRDefault="0082156C">
            <w:pPr>
              <w:ind w:left="5"/>
              <w:rPr>
                <w:vanish/>
                <w:sz w:val="20"/>
                <w:szCs w:val="20"/>
              </w:rPr>
            </w:pPr>
            <w:r>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0D5083">
              <w:rPr>
                <w:vanish/>
                <w:sz w:val="20"/>
                <w:szCs w:val="20"/>
              </w:rPr>
              <w:instrText xml:space="preserve"> FORMDROPDOWN </w:instrText>
            </w:r>
            <w:r>
              <w:rPr>
                <w:vanish/>
                <w:sz w:val="20"/>
                <w:szCs w:val="20"/>
              </w:rPr>
            </w:r>
            <w:r>
              <w:rPr>
                <w:vanish/>
                <w:sz w:val="20"/>
                <w:szCs w:val="20"/>
              </w:rPr>
              <w:fldChar w:fldCharType="end"/>
            </w:r>
          </w:p>
        </w:tc>
        <w:tc>
          <w:tcPr>
            <w:tcW w:w="659" w:type="pct"/>
          </w:tcPr>
          <w:p w:rsidR="000D5083" w:rsidRDefault="0082156C">
            <w:pPr>
              <w:ind w:left="-6"/>
              <w:jc w:val="right"/>
              <w:rPr>
                <w:vanish/>
                <w:sz w:val="20"/>
                <w:szCs w:val="20"/>
              </w:rPr>
            </w:pPr>
            <w:r>
              <w:rPr>
                <w:vanish/>
                <w:sz w:val="20"/>
                <w:szCs w:val="20"/>
              </w:rPr>
              <w:fldChar w:fldCharType="begin">
                <w:ffData>
                  <w:name w:val="CofinTotal_05"/>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tr>
      <w:tr w:rsidR="000D5083">
        <w:trPr>
          <w:cantSplit/>
          <w:hidden/>
        </w:trPr>
        <w:tc>
          <w:tcPr>
            <w:tcW w:w="1734" w:type="pct"/>
          </w:tcPr>
          <w:p w:rsidR="000D5083" w:rsidRDefault="0082156C">
            <w:pPr>
              <w:rPr>
                <w:vanish/>
                <w:sz w:val="20"/>
                <w:szCs w:val="20"/>
              </w:rPr>
            </w:pPr>
            <w:r>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0D5083">
              <w:rPr>
                <w:vanish/>
                <w:sz w:val="20"/>
                <w:szCs w:val="20"/>
              </w:rPr>
              <w:instrText xml:space="preserve"> FORMDROPDOWN </w:instrText>
            </w:r>
            <w:r>
              <w:rPr>
                <w:vanish/>
                <w:sz w:val="20"/>
                <w:szCs w:val="20"/>
              </w:rPr>
            </w:r>
            <w:r>
              <w:rPr>
                <w:vanish/>
                <w:sz w:val="20"/>
                <w:szCs w:val="20"/>
              </w:rPr>
              <w:fldChar w:fldCharType="end"/>
            </w:r>
          </w:p>
        </w:tc>
        <w:tc>
          <w:tcPr>
            <w:tcW w:w="1521" w:type="pct"/>
          </w:tcPr>
          <w:p w:rsidR="000D5083" w:rsidRDefault="0082156C">
            <w:pPr>
              <w:rPr>
                <w:vanish/>
                <w:sz w:val="20"/>
                <w:szCs w:val="20"/>
              </w:rPr>
            </w:pPr>
            <w:r>
              <w:rPr>
                <w:vanish/>
                <w:sz w:val="20"/>
                <w:szCs w:val="20"/>
              </w:rPr>
              <w:fldChar w:fldCharType="begin">
                <w:ffData>
                  <w:name w:val="nameOfCofin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tc>
          <w:tcPr>
            <w:tcW w:w="1086" w:type="pct"/>
          </w:tcPr>
          <w:p w:rsidR="000D5083" w:rsidRDefault="0082156C">
            <w:pPr>
              <w:ind w:left="5"/>
              <w:rPr>
                <w:vanish/>
                <w:sz w:val="20"/>
                <w:szCs w:val="20"/>
              </w:rPr>
            </w:pPr>
            <w:r>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0D5083">
              <w:rPr>
                <w:vanish/>
                <w:sz w:val="20"/>
                <w:szCs w:val="20"/>
              </w:rPr>
              <w:instrText xml:space="preserve"> FORMDROPDOWN </w:instrText>
            </w:r>
            <w:r>
              <w:rPr>
                <w:vanish/>
                <w:sz w:val="20"/>
                <w:szCs w:val="20"/>
              </w:rPr>
            </w:r>
            <w:r>
              <w:rPr>
                <w:vanish/>
                <w:sz w:val="20"/>
                <w:szCs w:val="20"/>
              </w:rPr>
              <w:fldChar w:fldCharType="end"/>
            </w:r>
          </w:p>
        </w:tc>
        <w:tc>
          <w:tcPr>
            <w:tcW w:w="659" w:type="pct"/>
          </w:tcPr>
          <w:p w:rsidR="000D5083" w:rsidRDefault="0082156C">
            <w:pPr>
              <w:ind w:left="-6"/>
              <w:jc w:val="right"/>
              <w:rPr>
                <w:vanish/>
                <w:sz w:val="20"/>
                <w:szCs w:val="20"/>
              </w:rPr>
            </w:pPr>
            <w:r>
              <w:rPr>
                <w:vanish/>
                <w:sz w:val="20"/>
                <w:szCs w:val="20"/>
              </w:rPr>
              <w:fldChar w:fldCharType="begin">
                <w:ffData>
                  <w:name w:val="CofinTotal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tr>
      <w:tr w:rsidR="000D5083">
        <w:trPr>
          <w:cantSplit/>
        </w:trPr>
        <w:tc>
          <w:tcPr>
            <w:tcW w:w="1734" w:type="pct"/>
            <w:tcBorders>
              <w:top w:val="double" w:sz="4" w:space="0" w:color="auto"/>
              <w:bottom w:val="double" w:sz="4" w:space="0" w:color="auto"/>
            </w:tcBorders>
          </w:tcPr>
          <w:p w:rsidR="000D5083" w:rsidRDefault="000D5083">
            <w:pPr>
              <w:rPr>
                <w:b/>
                <w:bCs/>
                <w:sz w:val="20"/>
                <w:szCs w:val="20"/>
              </w:rPr>
            </w:pPr>
            <w:r>
              <w:rPr>
                <w:b/>
                <w:bCs/>
                <w:sz w:val="20"/>
                <w:szCs w:val="20"/>
              </w:rPr>
              <w:t>Total Cofinancing</w:t>
            </w:r>
          </w:p>
        </w:tc>
        <w:tc>
          <w:tcPr>
            <w:tcW w:w="1521" w:type="pct"/>
            <w:tcBorders>
              <w:top w:val="double" w:sz="4" w:space="0" w:color="auto"/>
              <w:bottom w:val="double" w:sz="4" w:space="0" w:color="auto"/>
            </w:tcBorders>
            <w:shd w:val="clear" w:color="auto" w:fill="CCCCCC"/>
          </w:tcPr>
          <w:p w:rsidR="000D5083" w:rsidRDefault="000D5083">
            <w:pPr>
              <w:jc w:val="right"/>
              <w:rPr>
                <w:sz w:val="20"/>
                <w:szCs w:val="20"/>
              </w:rPr>
            </w:pPr>
          </w:p>
        </w:tc>
        <w:tc>
          <w:tcPr>
            <w:tcW w:w="1086" w:type="pct"/>
            <w:tcBorders>
              <w:top w:val="double" w:sz="4" w:space="0" w:color="auto"/>
              <w:bottom w:val="double" w:sz="4" w:space="0" w:color="auto"/>
            </w:tcBorders>
            <w:shd w:val="clear" w:color="auto" w:fill="CCCCCC"/>
          </w:tcPr>
          <w:p w:rsidR="000D5083" w:rsidRDefault="000D5083">
            <w:pPr>
              <w:ind w:left="5"/>
              <w:jc w:val="right"/>
              <w:rPr>
                <w:sz w:val="20"/>
                <w:szCs w:val="20"/>
              </w:rPr>
            </w:pPr>
          </w:p>
        </w:tc>
        <w:bookmarkStart w:id="219" w:name="Total_C_COAMT"/>
        <w:tc>
          <w:tcPr>
            <w:tcW w:w="659" w:type="pct"/>
            <w:tcBorders>
              <w:top w:val="double" w:sz="4" w:space="0" w:color="auto"/>
              <w:bottom w:val="double" w:sz="4" w:space="0" w:color="auto"/>
            </w:tcBorders>
          </w:tcPr>
          <w:p w:rsidR="000D5083" w:rsidRDefault="0082156C">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=sum(C_COAMT_01,C_COAMT_02,C_COAMT_03,C_COAMT_04,C_COAMT_05,C_COAMT_06,C_COAMT_07,C_COAMT_08,C_COAMT_09,C_COAMT_010) </w:instrText>
            </w:r>
            <w:r>
              <w:rPr>
                <w:sz w:val="20"/>
                <w:szCs w:val="20"/>
              </w:rPr>
              <w:fldChar w:fldCharType="separate"/>
            </w:r>
            <w:r w:rsidR="0061067E">
              <w:rPr>
                <w:noProof/>
                <w:sz w:val="20"/>
                <w:szCs w:val="20"/>
              </w:rPr>
              <w:instrText>21250000</w:instrText>
            </w:r>
            <w:r>
              <w:rPr>
                <w:sz w:val="20"/>
                <w:szCs w:val="20"/>
              </w:rPr>
              <w:fldChar w:fldCharType="end"/>
            </w:r>
            <w:r>
              <w:rPr>
                <w:sz w:val="20"/>
                <w:szCs w:val="20"/>
              </w:rPr>
            </w:r>
            <w:r>
              <w:rPr>
                <w:sz w:val="20"/>
                <w:szCs w:val="20"/>
              </w:rPr>
              <w:fldChar w:fldCharType="separate"/>
            </w:r>
            <w:r w:rsidR="0061067E">
              <w:rPr>
                <w:noProof/>
                <w:sz w:val="20"/>
                <w:szCs w:val="20"/>
              </w:rPr>
              <w:t>21250000</w:t>
            </w:r>
            <w:r>
              <w:rPr>
                <w:sz w:val="20"/>
                <w:szCs w:val="20"/>
              </w:rPr>
              <w:fldChar w:fldCharType="end"/>
            </w:r>
            <w:bookmarkEnd w:id="219"/>
          </w:p>
        </w:tc>
      </w:tr>
    </w:tbl>
    <w:p w:rsidR="000D5083" w:rsidRDefault="000D5083">
      <w:pPr>
        <w:pStyle w:val="Footer"/>
        <w:numPr>
          <w:ilvl w:val="0"/>
          <w:numId w:val="4"/>
        </w:numPr>
        <w:tabs>
          <w:tab w:val="clear" w:pos="4320"/>
          <w:tab w:val="clear" w:pos="8640"/>
        </w:tabs>
        <w:spacing w:before="240" w:after="80"/>
        <w:ind w:left="-720" w:firstLine="0"/>
        <w:rPr>
          <w:b/>
          <w:bCs/>
          <w:smallCaps/>
          <w:sz w:val="22"/>
          <w:szCs w:val="22"/>
        </w:rPr>
      </w:pPr>
      <w:r>
        <w:rPr>
          <w:b/>
          <w:bCs/>
          <w:smallCaps/>
          <w:sz w:val="22"/>
          <w:szCs w:val="22"/>
        </w:rPr>
        <w:t>GEF/LDCF/SCCF  Resources Requested by Agency, Focal Area and Country</w:t>
      </w:r>
      <w:r>
        <w:rPr>
          <w:rStyle w:val="FootnoteReference"/>
          <w:b/>
          <w:bCs/>
          <w:caps/>
          <w:color w:val="000000"/>
          <w:sz w:val="22"/>
          <w:szCs w:val="22"/>
        </w:rPr>
        <w:t>1</w:t>
      </w:r>
    </w:p>
    <w:tbl>
      <w:tblPr>
        <w:tblW w:w="5314"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439"/>
        <w:gridCol w:w="2124"/>
        <w:gridCol w:w="1682"/>
        <w:gridCol w:w="1217"/>
        <w:gridCol w:w="1371"/>
        <w:gridCol w:w="1367"/>
      </w:tblGrid>
      <w:tr w:rsidR="000D5083">
        <w:trPr>
          <w:trHeight w:val="260"/>
        </w:trPr>
        <w:tc>
          <w:tcPr>
            <w:tcW w:w="564" w:type="pct"/>
            <w:vAlign w:val="center"/>
          </w:tcPr>
          <w:p w:rsidR="000D5083" w:rsidRDefault="000D5083">
            <w:pPr>
              <w:jc w:val="center"/>
              <w:rPr>
                <w:rFonts w:ascii="Times New Roman Bold" w:hAnsi="Times New Roman Bold" w:cs="Times New Roman Bold"/>
                <w:b/>
                <w:bCs/>
              </w:rPr>
            </w:pPr>
            <w:r>
              <w:rPr>
                <w:rFonts w:ascii="Times New Roman Bold" w:hAnsi="Times New Roman Bold" w:cs="Times New Roman Bold"/>
                <w:b/>
                <w:bCs/>
                <w:sz w:val="22"/>
                <w:szCs w:val="22"/>
              </w:rPr>
              <w:t>GEF Agency</w:t>
            </w:r>
          </w:p>
        </w:tc>
        <w:tc>
          <w:tcPr>
            <w:tcW w:w="694" w:type="pct"/>
            <w:vAlign w:val="center"/>
          </w:tcPr>
          <w:p w:rsidR="000D5083" w:rsidRDefault="000D5083">
            <w:pPr>
              <w:jc w:val="center"/>
              <w:rPr>
                <w:rFonts w:ascii="Times New Roman Bold" w:hAnsi="Times New Roman Bold" w:cs="Times New Roman Bold"/>
                <w:b/>
                <w:bCs/>
              </w:rPr>
            </w:pPr>
            <w:r>
              <w:rPr>
                <w:rFonts w:ascii="Times New Roman Bold" w:hAnsi="Times New Roman Bold" w:cs="Times New Roman Bold"/>
                <w:b/>
                <w:bCs/>
                <w:sz w:val="22"/>
                <w:szCs w:val="22"/>
              </w:rPr>
              <w:t>Type of Trust Fund</w:t>
            </w:r>
          </w:p>
        </w:tc>
        <w:tc>
          <w:tcPr>
            <w:tcW w:w="1024" w:type="pct"/>
            <w:vAlign w:val="center"/>
          </w:tcPr>
          <w:p w:rsidR="000D5083" w:rsidRDefault="000D5083">
            <w:pPr>
              <w:jc w:val="center"/>
              <w:rPr>
                <w:rFonts w:ascii="Times New Roman Bold" w:hAnsi="Times New Roman Bold" w:cs="Times New Roman Bold"/>
                <w:b/>
                <w:bCs/>
              </w:rPr>
            </w:pPr>
            <w:r>
              <w:rPr>
                <w:rFonts w:ascii="Times New Roman Bold" w:hAnsi="Times New Roman Bold" w:cs="Times New Roman Bold"/>
                <w:b/>
                <w:bCs/>
                <w:sz w:val="22"/>
                <w:szCs w:val="22"/>
              </w:rPr>
              <w:t>Focal Area</w:t>
            </w:r>
          </w:p>
        </w:tc>
        <w:tc>
          <w:tcPr>
            <w:tcW w:w="810" w:type="pct"/>
            <w:vAlign w:val="center"/>
          </w:tcPr>
          <w:p w:rsidR="000D5083" w:rsidRDefault="000D5083">
            <w:pPr>
              <w:jc w:val="center"/>
              <w:rPr>
                <w:b/>
                <w:bCs/>
              </w:rPr>
            </w:pPr>
            <w:r>
              <w:rPr>
                <w:b/>
                <w:bCs/>
                <w:sz w:val="22"/>
                <w:szCs w:val="22"/>
              </w:rPr>
              <w:t>Country Name/Global</w:t>
            </w:r>
          </w:p>
        </w:tc>
        <w:tc>
          <w:tcPr>
            <w:tcW w:w="587" w:type="pct"/>
            <w:vAlign w:val="center"/>
          </w:tcPr>
          <w:p w:rsidR="000D5083" w:rsidRDefault="000D5083">
            <w:pPr>
              <w:jc w:val="center"/>
              <w:rPr>
                <w:b/>
                <w:bCs/>
              </w:rPr>
            </w:pPr>
            <w:r>
              <w:rPr>
                <w:b/>
                <w:bCs/>
                <w:sz w:val="22"/>
                <w:szCs w:val="22"/>
              </w:rPr>
              <w:t>Grant Amount (a)</w:t>
            </w:r>
          </w:p>
        </w:tc>
        <w:tc>
          <w:tcPr>
            <w:tcW w:w="661" w:type="pct"/>
            <w:vAlign w:val="center"/>
          </w:tcPr>
          <w:p w:rsidR="000D5083" w:rsidRDefault="000D5083">
            <w:pPr>
              <w:jc w:val="center"/>
              <w:rPr>
                <w:b/>
                <w:bCs/>
              </w:rPr>
            </w:pPr>
            <w:r>
              <w:rPr>
                <w:b/>
                <w:bCs/>
                <w:sz w:val="22"/>
                <w:szCs w:val="22"/>
              </w:rPr>
              <w:t>Agency Fee (b)</w:t>
            </w:r>
            <w:r>
              <w:rPr>
                <w:b/>
                <w:bCs/>
                <w:sz w:val="22"/>
                <w:szCs w:val="22"/>
                <w:vertAlign w:val="superscript"/>
              </w:rPr>
              <w:t>2</w:t>
            </w:r>
          </w:p>
        </w:tc>
        <w:tc>
          <w:tcPr>
            <w:tcW w:w="659" w:type="pct"/>
            <w:vAlign w:val="center"/>
          </w:tcPr>
          <w:p w:rsidR="000D5083" w:rsidRDefault="000D5083">
            <w:pPr>
              <w:ind w:firstLine="195"/>
              <w:jc w:val="center"/>
              <w:rPr>
                <w:b/>
                <w:bCs/>
              </w:rPr>
            </w:pPr>
            <w:r>
              <w:rPr>
                <w:b/>
                <w:bCs/>
                <w:sz w:val="22"/>
                <w:szCs w:val="22"/>
              </w:rPr>
              <w:t>Total c=a+b</w:t>
            </w:r>
          </w:p>
        </w:tc>
      </w:tr>
      <w:bookmarkStart w:id="220" w:name="D_Agency_01"/>
      <w:tr w:rsidR="000D5083">
        <w:trPr>
          <w:trHeight w:val="253"/>
        </w:trPr>
        <w:tc>
          <w:tcPr>
            <w:tcW w:w="564" w:type="pct"/>
          </w:tcPr>
          <w:p w:rsidR="000D5083" w:rsidRDefault="0082156C">
            <w:pPr>
              <w:rPr>
                <w:sz w:val="20"/>
                <w:szCs w:val="20"/>
              </w:rPr>
            </w:pPr>
            <w:r>
              <w:rPr>
                <w:sz w:val="20"/>
                <w:szCs w:val="20"/>
              </w:rPr>
              <w:fldChar w:fldCharType="begin">
                <w:ffData>
                  <w:name w:val="D_Agency_01"/>
                  <w:enabled/>
                  <w:calcOnExit w:val="0"/>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20"/>
          </w:p>
        </w:tc>
        <w:bookmarkStart w:id="221" w:name="D_TFTYPE_01"/>
        <w:tc>
          <w:tcPr>
            <w:tcW w:w="694" w:type="pct"/>
          </w:tcPr>
          <w:p w:rsidR="000D5083" w:rsidRDefault="0082156C">
            <w:pPr>
              <w:rPr>
                <w:sz w:val="20"/>
                <w:szCs w:val="20"/>
              </w:rPr>
            </w:pPr>
            <w:r>
              <w:rPr>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21"/>
          </w:p>
        </w:tc>
        <w:bookmarkStart w:id="222" w:name="D_FocalArea_01"/>
        <w:tc>
          <w:tcPr>
            <w:tcW w:w="1024" w:type="pct"/>
          </w:tcPr>
          <w:p w:rsidR="000D5083" w:rsidRDefault="0082156C">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22"/>
          </w:p>
        </w:tc>
        <w:bookmarkStart w:id="223" w:name="D_Country_01"/>
        <w:tc>
          <w:tcPr>
            <w:tcW w:w="810" w:type="pct"/>
          </w:tcPr>
          <w:p w:rsidR="000D5083" w:rsidRDefault="0082156C">
            <w:pPr>
              <w:rPr>
                <w:sz w:val="20"/>
                <w:szCs w:val="20"/>
              </w:rPr>
            </w:pPr>
            <w:r>
              <w:rPr>
                <w:sz w:val="20"/>
                <w:szCs w:val="20"/>
              </w:rPr>
              <w:fldChar w:fldCharType="begin">
                <w:ffData>
                  <w:name w:val="D_Country_01"/>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xml:space="preserve">Maldives </w:t>
            </w:r>
            <w:r>
              <w:rPr>
                <w:sz w:val="20"/>
                <w:szCs w:val="20"/>
              </w:rPr>
              <w:fldChar w:fldCharType="end"/>
            </w:r>
            <w:bookmarkEnd w:id="223"/>
          </w:p>
        </w:tc>
        <w:bookmarkStart w:id="224" w:name="D_GA_01"/>
        <w:tc>
          <w:tcPr>
            <w:tcW w:w="587" w:type="pct"/>
          </w:tcPr>
          <w:p w:rsidR="000D5083" w:rsidRDefault="0082156C" w:rsidP="00496C8C">
            <w:pPr>
              <w:jc w:val="right"/>
              <w:rPr>
                <w:sz w:val="20"/>
                <w:szCs w:val="20"/>
              </w:rPr>
            </w:pPr>
            <w:r>
              <w:rPr>
                <w:sz w:val="20"/>
                <w:szCs w:val="20"/>
              </w:rPr>
              <w:fldChar w:fldCharType="begin">
                <w:ffData>
                  <w:name w:val="D_GA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3885000</w:t>
            </w:r>
            <w:r>
              <w:rPr>
                <w:sz w:val="20"/>
                <w:szCs w:val="20"/>
              </w:rPr>
              <w:fldChar w:fldCharType="end"/>
            </w:r>
            <w:bookmarkEnd w:id="224"/>
          </w:p>
        </w:tc>
        <w:bookmarkStart w:id="225" w:name="D_AF_01"/>
        <w:tc>
          <w:tcPr>
            <w:tcW w:w="661" w:type="pct"/>
          </w:tcPr>
          <w:p w:rsidR="000D5083" w:rsidRDefault="0082156C" w:rsidP="00496C8C">
            <w:pPr>
              <w:jc w:val="right"/>
              <w:rPr>
                <w:sz w:val="20"/>
                <w:szCs w:val="20"/>
              </w:rPr>
            </w:pPr>
            <w:r>
              <w:rPr>
                <w:sz w:val="20"/>
                <w:szCs w:val="20"/>
              </w:rPr>
              <w:fldChar w:fldCharType="begin">
                <w:ffData>
                  <w:name w:val="D_AF_01"/>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388500</w:t>
            </w:r>
            <w:r>
              <w:rPr>
                <w:sz w:val="20"/>
                <w:szCs w:val="20"/>
              </w:rPr>
              <w:fldChar w:fldCharType="end"/>
            </w:r>
            <w:bookmarkEnd w:id="225"/>
          </w:p>
        </w:tc>
        <w:bookmarkStart w:id="226" w:name="D_GAAF_TOT_01"/>
        <w:tc>
          <w:tcPr>
            <w:tcW w:w="659" w:type="pct"/>
          </w:tcPr>
          <w:p w:rsidR="000D5083" w:rsidRDefault="0082156C">
            <w:pPr>
              <w:jc w:val="right"/>
              <w:rPr>
                <w:sz w:val="20"/>
                <w:szCs w:val="20"/>
              </w:rPr>
            </w:pPr>
            <w:r>
              <w:rPr>
                <w:sz w:val="20"/>
                <w:szCs w:val="20"/>
              </w:rPr>
              <w:fldChar w:fldCharType="begin">
                <w:ffData>
                  <w:name w:val="D_GAAF_TOT_01"/>
                  <w:enabled w:val="0"/>
                  <w:calcOnExit/>
                  <w:textInput>
                    <w:type w:val="calculated"/>
                    <w:default w:val="=sum(D_GA_01,D_AF_01)"/>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=sum(D_GA_01,D_AF_01) </w:instrText>
            </w:r>
            <w:r>
              <w:rPr>
                <w:sz w:val="20"/>
                <w:szCs w:val="20"/>
              </w:rPr>
              <w:fldChar w:fldCharType="separate"/>
            </w:r>
            <w:r w:rsidR="0061067E">
              <w:rPr>
                <w:noProof/>
                <w:sz w:val="20"/>
                <w:szCs w:val="20"/>
              </w:rPr>
              <w:instrText>4273500</w:instrText>
            </w:r>
            <w:r>
              <w:rPr>
                <w:sz w:val="20"/>
                <w:szCs w:val="20"/>
              </w:rPr>
              <w:fldChar w:fldCharType="end"/>
            </w:r>
            <w:r>
              <w:rPr>
                <w:sz w:val="20"/>
                <w:szCs w:val="20"/>
              </w:rPr>
            </w:r>
            <w:r>
              <w:rPr>
                <w:sz w:val="20"/>
                <w:szCs w:val="20"/>
              </w:rPr>
              <w:fldChar w:fldCharType="separate"/>
            </w:r>
            <w:r w:rsidR="0061067E">
              <w:rPr>
                <w:noProof/>
                <w:sz w:val="20"/>
                <w:szCs w:val="20"/>
              </w:rPr>
              <w:t>4273500</w:t>
            </w:r>
            <w:r>
              <w:rPr>
                <w:sz w:val="20"/>
                <w:szCs w:val="20"/>
              </w:rPr>
              <w:fldChar w:fldCharType="end"/>
            </w:r>
            <w:bookmarkEnd w:id="226"/>
          </w:p>
        </w:tc>
      </w:tr>
      <w:bookmarkStart w:id="227" w:name="D_Agency_02"/>
      <w:tr w:rsidR="000D5083">
        <w:trPr>
          <w:trHeight w:val="253"/>
        </w:trPr>
        <w:tc>
          <w:tcPr>
            <w:tcW w:w="564" w:type="pct"/>
          </w:tcPr>
          <w:p w:rsidR="000D5083" w:rsidRDefault="0082156C">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27"/>
          </w:p>
        </w:tc>
        <w:bookmarkStart w:id="228" w:name="D_TFTYPE_02"/>
        <w:tc>
          <w:tcPr>
            <w:tcW w:w="694" w:type="pct"/>
          </w:tcPr>
          <w:p w:rsidR="000D5083" w:rsidRDefault="0082156C">
            <w:pPr>
              <w:rPr>
                <w:sz w:val="20"/>
                <w:szCs w:val="20"/>
              </w:rPr>
            </w:pPr>
            <w:r>
              <w:rPr>
                <w:smallCaps/>
                <w:sz w:val="20"/>
                <w:szCs w:val="20"/>
              </w:rPr>
              <w:fldChar w:fldCharType="begin">
                <w:ffData>
                  <w:name w:val="D_TFTYPE_02"/>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28"/>
          </w:p>
        </w:tc>
        <w:bookmarkStart w:id="229" w:name="D_FocalArea_02"/>
        <w:tc>
          <w:tcPr>
            <w:tcW w:w="1024" w:type="pct"/>
          </w:tcPr>
          <w:p w:rsidR="000D5083" w:rsidRDefault="0082156C">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29"/>
          </w:p>
        </w:tc>
        <w:bookmarkStart w:id="230" w:name="D_Country_02"/>
        <w:tc>
          <w:tcPr>
            <w:tcW w:w="810" w:type="pct"/>
          </w:tcPr>
          <w:p w:rsidR="000D5083" w:rsidRDefault="0082156C" w:rsidP="00496C8C">
            <w:pPr>
              <w:rPr>
                <w:sz w:val="20"/>
                <w:szCs w:val="20"/>
              </w:rPr>
            </w:pPr>
            <w:r>
              <w:rPr>
                <w:sz w:val="20"/>
                <w:szCs w:val="20"/>
              </w:rPr>
              <w:fldChar w:fldCharType="begin">
                <w:ffData>
                  <w:name w:val="D_Country_02"/>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0"/>
          </w:p>
        </w:tc>
        <w:bookmarkStart w:id="231" w:name="D_GA_02"/>
        <w:tc>
          <w:tcPr>
            <w:tcW w:w="587" w:type="pct"/>
          </w:tcPr>
          <w:p w:rsidR="000D5083" w:rsidRDefault="0082156C" w:rsidP="00496C8C">
            <w:pPr>
              <w:jc w:val="right"/>
              <w:rPr>
                <w:sz w:val="20"/>
                <w:szCs w:val="20"/>
              </w:rPr>
            </w:pPr>
            <w:r>
              <w:rPr>
                <w:sz w:val="20"/>
                <w:szCs w:val="20"/>
              </w:rPr>
              <w:fldChar w:fldCharType="begin">
                <w:ffData>
                  <w:name w:val="D_GA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1"/>
          </w:p>
        </w:tc>
        <w:bookmarkStart w:id="232" w:name="D_AF_02"/>
        <w:tc>
          <w:tcPr>
            <w:tcW w:w="661" w:type="pct"/>
          </w:tcPr>
          <w:p w:rsidR="000D5083" w:rsidRDefault="0082156C" w:rsidP="00496C8C">
            <w:pPr>
              <w:jc w:val="right"/>
              <w:rPr>
                <w:sz w:val="20"/>
                <w:szCs w:val="20"/>
              </w:rPr>
            </w:pPr>
            <w:r>
              <w:rPr>
                <w:sz w:val="20"/>
                <w:szCs w:val="20"/>
              </w:rPr>
              <w:fldChar w:fldCharType="begin">
                <w:ffData>
                  <w:name w:val="D_AF_02"/>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2"/>
          </w:p>
        </w:tc>
        <w:bookmarkStart w:id="233" w:name="D_GAAF_TOT_02"/>
        <w:tc>
          <w:tcPr>
            <w:tcW w:w="659" w:type="pct"/>
          </w:tcPr>
          <w:p w:rsidR="000D5083" w:rsidRDefault="0082156C">
            <w:pPr>
              <w:jc w:val="right"/>
              <w:rPr>
                <w:sz w:val="20"/>
                <w:szCs w:val="20"/>
              </w:rPr>
            </w:pPr>
            <w:r>
              <w:rPr>
                <w:sz w:val="20"/>
                <w:szCs w:val="20"/>
              </w:rPr>
              <w:fldChar w:fldCharType="begin">
                <w:ffData>
                  <w:name w:val="D_GAAF_TOT_02"/>
                  <w:enabled w:val="0"/>
                  <w:calcOnExit/>
                  <w:textInput>
                    <w:type w:val="calculated"/>
                    <w:default w:val="=sum(D_GA_02,D_AF_02)"/>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=sum(D_GA_02,D_AF_02)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33"/>
          </w:p>
        </w:tc>
      </w:tr>
      <w:bookmarkStart w:id="234" w:name="D_Agency_03"/>
      <w:tr w:rsidR="000D5083">
        <w:trPr>
          <w:trHeight w:val="253"/>
        </w:trPr>
        <w:tc>
          <w:tcPr>
            <w:tcW w:w="564" w:type="pct"/>
          </w:tcPr>
          <w:p w:rsidR="000D5083" w:rsidRDefault="0082156C">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34"/>
          </w:p>
        </w:tc>
        <w:bookmarkStart w:id="235" w:name="D_TFTYPE_03"/>
        <w:tc>
          <w:tcPr>
            <w:tcW w:w="694" w:type="pct"/>
          </w:tcPr>
          <w:p w:rsidR="000D5083" w:rsidRDefault="0082156C">
            <w:pPr>
              <w:rPr>
                <w:sz w:val="20"/>
                <w:szCs w:val="20"/>
              </w:rPr>
            </w:pPr>
            <w:r>
              <w:rPr>
                <w:smallCaps/>
                <w:sz w:val="20"/>
                <w:szCs w:val="20"/>
              </w:rPr>
              <w:fldChar w:fldCharType="begin">
                <w:ffData>
                  <w:name w:val="D_TFTYPE_03"/>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35"/>
          </w:p>
        </w:tc>
        <w:bookmarkStart w:id="236" w:name="D_FocalArea_03"/>
        <w:tc>
          <w:tcPr>
            <w:tcW w:w="1024" w:type="pct"/>
          </w:tcPr>
          <w:p w:rsidR="000D5083" w:rsidRDefault="0082156C">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36"/>
          </w:p>
        </w:tc>
        <w:bookmarkStart w:id="237" w:name="D_Country_03"/>
        <w:tc>
          <w:tcPr>
            <w:tcW w:w="810" w:type="pct"/>
          </w:tcPr>
          <w:p w:rsidR="000D5083" w:rsidRDefault="0082156C" w:rsidP="00496C8C">
            <w:pPr>
              <w:rPr>
                <w:sz w:val="20"/>
                <w:szCs w:val="20"/>
              </w:rPr>
            </w:pPr>
            <w:r>
              <w:rPr>
                <w:sz w:val="20"/>
                <w:szCs w:val="20"/>
              </w:rPr>
              <w:fldChar w:fldCharType="begin">
                <w:ffData>
                  <w:name w:val="D_Country_03"/>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7"/>
          </w:p>
        </w:tc>
        <w:bookmarkStart w:id="238" w:name="D_GA_03"/>
        <w:tc>
          <w:tcPr>
            <w:tcW w:w="587" w:type="pct"/>
          </w:tcPr>
          <w:p w:rsidR="000D5083" w:rsidRDefault="0082156C" w:rsidP="00496C8C">
            <w:pPr>
              <w:jc w:val="right"/>
              <w:rPr>
                <w:sz w:val="20"/>
                <w:szCs w:val="20"/>
              </w:rPr>
            </w:pPr>
            <w:r>
              <w:rPr>
                <w:sz w:val="20"/>
                <w:szCs w:val="20"/>
              </w:rPr>
              <w:fldChar w:fldCharType="begin">
                <w:ffData>
                  <w:name w:val="D_GA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8"/>
          </w:p>
        </w:tc>
        <w:bookmarkStart w:id="239" w:name="D_AF_03"/>
        <w:tc>
          <w:tcPr>
            <w:tcW w:w="661" w:type="pct"/>
          </w:tcPr>
          <w:p w:rsidR="000D5083" w:rsidRDefault="0082156C" w:rsidP="00496C8C">
            <w:pPr>
              <w:jc w:val="right"/>
              <w:rPr>
                <w:sz w:val="20"/>
                <w:szCs w:val="20"/>
              </w:rPr>
            </w:pPr>
            <w:r>
              <w:rPr>
                <w:sz w:val="20"/>
                <w:szCs w:val="20"/>
              </w:rPr>
              <w:fldChar w:fldCharType="begin">
                <w:ffData>
                  <w:name w:val="D_AF_03"/>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sidR="00496C8C">
              <w:rPr>
                <w:noProof/>
                <w:sz w:val="20"/>
                <w:szCs w:val="20"/>
              </w:rPr>
              <w:t> </w:t>
            </w:r>
            <w:r>
              <w:rPr>
                <w:sz w:val="20"/>
                <w:szCs w:val="20"/>
              </w:rPr>
              <w:fldChar w:fldCharType="end"/>
            </w:r>
            <w:bookmarkEnd w:id="239"/>
          </w:p>
        </w:tc>
        <w:bookmarkStart w:id="240" w:name="D_GAAF_TOT_03"/>
        <w:tc>
          <w:tcPr>
            <w:tcW w:w="659" w:type="pct"/>
          </w:tcPr>
          <w:p w:rsidR="000D5083" w:rsidRDefault="0082156C">
            <w:pPr>
              <w:jc w:val="right"/>
              <w:rPr>
                <w:sz w:val="20"/>
                <w:szCs w:val="20"/>
              </w:rPr>
            </w:pPr>
            <w:r>
              <w:rPr>
                <w:sz w:val="20"/>
                <w:szCs w:val="20"/>
              </w:rPr>
              <w:fldChar w:fldCharType="begin">
                <w:ffData>
                  <w:name w:val="D_GAAF_TOT_03"/>
                  <w:enabled w:val="0"/>
                  <w:calcOnExit/>
                  <w:textInput>
                    <w:type w:val="calculated"/>
                    <w:default w:val="=sum(D_GA_03,D_AF_03)"/>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=sum(D_GA_03,D_AF_03)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40"/>
          </w:p>
        </w:tc>
      </w:tr>
      <w:bookmarkStart w:id="241" w:name="D_Agency_04"/>
      <w:tr w:rsidR="000D5083">
        <w:trPr>
          <w:trHeight w:val="253"/>
        </w:trPr>
        <w:tc>
          <w:tcPr>
            <w:tcW w:w="564" w:type="pct"/>
          </w:tcPr>
          <w:p w:rsidR="000D5083" w:rsidRDefault="0082156C">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41"/>
          </w:p>
        </w:tc>
        <w:bookmarkStart w:id="242" w:name="D_TFTYPE_04"/>
        <w:tc>
          <w:tcPr>
            <w:tcW w:w="694" w:type="pct"/>
          </w:tcPr>
          <w:p w:rsidR="000D5083" w:rsidRDefault="0082156C">
            <w:pPr>
              <w:rPr>
                <w:sz w:val="20"/>
                <w:szCs w:val="20"/>
              </w:rPr>
            </w:pPr>
            <w:r>
              <w:rPr>
                <w:smallCaps/>
                <w:sz w:val="20"/>
                <w:szCs w:val="20"/>
              </w:rPr>
              <w:fldChar w:fldCharType="begin">
                <w:ffData>
                  <w:name w:val="D_TFTYPE_04"/>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42"/>
          </w:p>
        </w:tc>
        <w:bookmarkStart w:id="243" w:name="D_FocalArea_04"/>
        <w:tc>
          <w:tcPr>
            <w:tcW w:w="1024" w:type="pct"/>
          </w:tcPr>
          <w:p w:rsidR="000D5083" w:rsidRDefault="0082156C">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43"/>
          </w:p>
        </w:tc>
        <w:bookmarkStart w:id="244" w:name="D_Country_04"/>
        <w:tc>
          <w:tcPr>
            <w:tcW w:w="810" w:type="pct"/>
          </w:tcPr>
          <w:p w:rsidR="000D5083" w:rsidRDefault="0082156C">
            <w:pPr>
              <w:rPr>
                <w:sz w:val="20"/>
                <w:szCs w:val="20"/>
              </w:rPr>
            </w:pPr>
            <w:r>
              <w:rPr>
                <w:sz w:val="20"/>
                <w:szCs w:val="20"/>
              </w:rPr>
              <w:fldChar w:fldCharType="begin">
                <w:ffData>
                  <w:name w:val="D_Country_04"/>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44"/>
          </w:p>
        </w:tc>
        <w:bookmarkStart w:id="245" w:name="D_GA_04"/>
        <w:tc>
          <w:tcPr>
            <w:tcW w:w="587" w:type="pct"/>
          </w:tcPr>
          <w:p w:rsidR="000D5083" w:rsidRDefault="0082156C">
            <w:pPr>
              <w:jc w:val="right"/>
              <w:rPr>
                <w:sz w:val="20"/>
                <w:szCs w:val="20"/>
              </w:rPr>
            </w:pPr>
            <w:r>
              <w:rPr>
                <w:sz w:val="20"/>
                <w:szCs w:val="20"/>
              </w:rPr>
              <w:fldChar w:fldCharType="begin">
                <w:ffData>
                  <w:name w:val="D_GA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45"/>
          </w:p>
        </w:tc>
        <w:bookmarkStart w:id="246" w:name="D_AF_04"/>
        <w:tc>
          <w:tcPr>
            <w:tcW w:w="661" w:type="pct"/>
          </w:tcPr>
          <w:p w:rsidR="000D5083" w:rsidRDefault="0082156C">
            <w:pPr>
              <w:jc w:val="right"/>
              <w:rPr>
                <w:sz w:val="20"/>
                <w:szCs w:val="20"/>
              </w:rPr>
            </w:pPr>
            <w:r>
              <w:rPr>
                <w:sz w:val="20"/>
                <w:szCs w:val="20"/>
              </w:rPr>
              <w:fldChar w:fldCharType="begin">
                <w:ffData>
                  <w:name w:val="D_AF_04"/>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46"/>
          </w:p>
        </w:tc>
        <w:bookmarkStart w:id="247" w:name="D_GAAF_TOTl_04"/>
        <w:tc>
          <w:tcPr>
            <w:tcW w:w="659" w:type="pct"/>
          </w:tcPr>
          <w:p w:rsidR="000D5083" w:rsidRDefault="0082156C">
            <w:pPr>
              <w:jc w:val="right"/>
              <w:rPr>
                <w:sz w:val="20"/>
                <w:szCs w:val="20"/>
              </w:rPr>
            </w:pPr>
            <w:r>
              <w:rPr>
                <w:sz w:val="20"/>
                <w:szCs w:val="20"/>
              </w:rPr>
              <w:fldChar w:fldCharType="begin">
                <w:ffData>
                  <w:name w:val="D_GAAF_TOTl_04"/>
                  <w:enabled w:val="0"/>
                  <w:calcOnExit/>
                  <w:textInput>
                    <w:type w:val="calculated"/>
                    <w:default w:val="=sum(D_GA_04,D_AF_04)"/>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=sum(D_GA_04,D_AF_04)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47"/>
          </w:p>
        </w:tc>
      </w:tr>
      <w:bookmarkStart w:id="248" w:name="D_Agency_05"/>
      <w:tr w:rsidR="000D5083">
        <w:trPr>
          <w:trHeight w:val="253"/>
        </w:trPr>
        <w:tc>
          <w:tcPr>
            <w:tcW w:w="564" w:type="pct"/>
          </w:tcPr>
          <w:p w:rsidR="000D5083" w:rsidRDefault="0082156C">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48"/>
          </w:p>
        </w:tc>
        <w:bookmarkStart w:id="249" w:name="D_TFTYPE_05"/>
        <w:tc>
          <w:tcPr>
            <w:tcW w:w="694" w:type="pct"/>
          </w:tcPr>
          <w:p w:rsidR="000D5083" w:rsidRDefault="0082156C">
            <w:pPr>
              <w:rPr>
                <w:vanish/>
                <w:sz w:val="20"/>
                <w:szCs w:val="20"/>
              </w:rPr>
            </w:pPr>
            <w:r>
              <w:rPr>
                <w:smallCaps/>
                <w:sz w:val="20"/>
                <w:szCs w:val="20"/>
              </w:rPr>
              <w:fldChar w:fldCharType="begin">
                <w:ffData>
                  <w:name w:val="D_TFTYPE_05"/>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49"/>
            <w:r>
              <w:rPr>
                <w:vanish/>
                <w:sz w:val="20"/>
                <w:szCs w:val="20"/>
              </w:rPr>
              <w:fldChar w:fldCharType="begin">
                <w:ffData>
                  <w:name w:val="TFType_05"/>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50" w:name="D_FocalArea_05"/>
        <w:tc>
          <w:tcPr>
            <w:tcW w:w="1024" w:type="pct"/>
          </w:tcPr>
          <w:p w:rsidR="000D5083" w:rsidRDefault="0082156C">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50"/>
          </w:p>
        </w:tc>
        <w:bookmarkStart w:id="251" w:name="D_Country_05"/>
        <w:tc>
          <w:tcPr>
            <w:tcW w:w="810" w:type="pct"/>
          </w:tcPr>
          <w:p w:rsidR="000D5083" w:rsidRDefault="0082156C">
            <w:pPr>
              <w:rPr>
                <w:vanish/>
                <w:sz w:val="20"/>
                <w:szCs w:val="20"/>
              </w:rPr>
            </w:pPr>
            <w:r>
              <w:rPr>
                <w:sz w:val="20"/>
                <w:szCs w:val="20"/>
              </w:rPr>
              <w:fldChar w:fldCharType="begin">
                <w:ffData>
                  <w:name w:val="D_Country_05"/>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51"/>
            <w:r>
              <w:rPr>
                <w:vanish/>
                <w:sz w:val="20"/>
                <w:szCs w:val="20"/>
              </w:rPr>
              <w:fldChar w:fldCharType="begin">
                <w:ffData>
                  <w:name w:val="BU_Country_05"/>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52" w:name="D_GA_05"/>
        <w:tc>
          <w:tcPr>
            <w:tcW w:w="587" w:type="pct"/>
          </w:tcPr>
          <w:p w:rsidR="000D5083" w:rsidRDefault="0082156C">
            <w:pPr>
              <w:jc w:val="right"/>
              <w:rPr>
                <w:vanish/>
                <w:sz w:val="20"/>
                <w:szCs w:val="20"/>
              </w:rPr>
            </w:pPr>
            <w:r>
              <w:rPr>
                <w:sz w:val="20"/>
                <w:szCs w:val="20"/>
              </w:rPr>
              <w:fldChar w:fldCharType="begin">
                <w:ffData>
                  <w:name w:val="D_GA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52"/>
            <w:r>
              <w:rPr>
                <w:vanish/>
                <w:sz w:val="20"/>
                <w:szCs w:val="20"/>
              </w:rPr>
              <w:fldChar w:fldCharType="begin">
                <w:ffData>
                  <w:name w:val="GRR_ProjectAmt_05"/>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53" w:name="D_AF_05"/>
        <w:tc>
          <w:tcPr>
            <w:tcW w:w="661" w:type="pct"/>
          </w:tcPr>
          <w:p w:rsidR="000D5083" w:rsidRDefault="0082156C">
            <w:pPr>
              <w:jc w:val="right"/>
              <w:rPr>
                <w:vanish/>
                <w:sz w:val="20"/>
                <w:szCs w:val="20"/>
              </w:rPr>
            </w:pPr>
            <w:r>
              <w:rPr>
                <w:sz w:val="20"/>
                <w:szCs w:val="20"/>
              </w:rPr>
              <w:fldChar w:fldCharType="begin">
                <w:ffData>
                  <w:name w:val="D_AF_05"/>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53"/>
            <w:r>
              <w:rPr>
                <w:vanish/>
                <w:sz w:val="20"/>
                <w:szCs w:val="20"/>
              </w:rPr>
              <w:fldChar w:fldCharType="begin">
                <w:ffData>
                  <w:name w:val="GRR_AgncyFee_05"/>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54" w:name="D_GAAF_TOT_05"/>
        <w:tc>
          <w:tcPr>
            <w:tcW w:w="659" w:type="pct"/>
          </w:tcPr>
          <w:p w:rsidR="000D5083" w:rsidRDefault="0082156C">
            <w:pPr>
              <w:jc w:val="right"/>
              <w:rPr>
                <w:vanish/>
                <w:sz w:val="20"/>
                <w:szCs w:val="20"/>
              </w:rPr>
            </w:pPr>
            <w:r>
              <w:rPr>
                <w:sz w:val="20"/>
                <w:szCs w:val="20"/>
              </w:rPr>
              <w:fldChar w:fldCharType="begin">
                <w:ffData>
                  <w:name w:val="D_GAAF_TOT_05"/>
                  <w:enabled w:val="0"/>
                  <w:calcOnExit/>
                  <w:textInput>
                    <w:type w:val="calculated"/>
                    <w:default w:val="=sum(D_GA_05,D_AF_05)"/>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=sum(D_GA_05,D_AF_05)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54"/>
          </w:p>
        </w:tc>
      </w:tr>
      <w:bookmarkStart w:id="255" w:name="D_Agency_06"/>
      <w:tr w:rsidR="000D5083">
        <w:trPr>
          <w:trHeight w:val="253"/>
        </w:trPr>
        <w:tc>
          <w:tcPr>
            <w:tcW w:w="564" w:type="pct"/>
          </w:tcPr>
          <w:p w:rsidR="000D5083" w:rsidRDefault="0082156C">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55"/>
          </w:p>
        </w:tc>
        <w:bookmarkStart w:id="256" w:name="D_TFTYPE_06"/>
        <w:tc>
          <w:tcPr>
            <w:tcW w:w="694" w:type="pct"/>
          </w:tcPr>
          <w:p w:rsidR="000D5083" w:rsidRDefault="0082156C">
            <w:pPr>
              <w:rPr>
                <w:vanish/>
                <w:sz w:val="20"/>
                <w:szCs w:val="20"/>
              </w:rPr>
            </w:pPr>
            <w:r>
              <w:rPr>
                <w:smallCaps/>
                <w:sz w:val="20"/>
                <w:szCs w:val="20"/>
              </w:rPr>
              <w:fldChar w:fldCharType="begin">
                <w:ffData>
                  <w:name w:val="D_TFTYPE_06"/>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56"/>
            <w:r>
              <w:rPr>
                <w:vanish/>
                <w:sz w:val="20"/>
                <w:szCs w:val="20"/>
              </w:rPr>
              <w:fldChar w:fldCharType="begin">
                <w:ffData>
                  <w:name w:val="TFType_06"/>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57" w:name="D_FocalArea_06"/>
        <w:tc>
          <w:tcPr>
            <w:tcW w:w="1024" w:type="pct"/>
          </w:tcPr>
          <w:p w:rsidR="000D5083" w:rsidRDefault="0082156C">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57"/>
          </w:p>
        </w:tc>
        <w:bookmarkStart w:id="258" w:name="D_Country_06"/>
        <w:tc>
          <w:tcPr>
            <w:tcW w:w="810" w:type="pct"/>
          </w:tcPr>
          <w:p w:rsidR="000D5083" w:rsidRDefault="0082156C">
            <w:pPr>
              <w:rPr>
                <w:vanish/>
                <w:sz w:val="20"/>
                <w:szCs w:val="20"/>
              </w:rPr>
            </w:pPr>
            <w:r>
              <w:rPr>
                <w:sz w:val="20"/>
                <w:szCs w:val="20"/>
              </w:rPr>
              <w:fldChar w:fldCharType="begin">
                <w:ffData>
                  <w:name w:val="D_Country_06"/>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58"/>
            <w:r>
              <w:rPr>
                <w:vanish/>
                <w:sz w:val="20"/>
                <w:szCs w:val="20"/>
              </w:rPr>
              <w:fldChar w:fldCharType="begin">
                <w:ffData>
                  <w:name w:val="BU_Country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59" w:name="D_GA_06"/>
        <w:tc>
          <w:tcPr>
            <w:tcW w:w="587" w:type="pct"/>
          </w:tcPr>
          <w:p w:rsidR="000D5083" w:rsidRDefault="0082156C">
            <w:pPr>
              <w:jc w:val="right"/>
              <w:rPr>
                <w:vanish/>
                <w:sz w:val="20"/>
                <w:szCs w:val="20"/>
              </w:rPr>
            </w:pPr>
            <w:r>
              <w:rPr>
                <w:sz w:val="20"/>
                <w:szCs w:val="20"/>
              </w:rPr>
              <w:fldChar w:fldCharType="begin">
                <w:ffData>
                  <w:name w:val="D_GA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59"/>
            <w:r>
              <w:rPr>
                <w:vanish/>
                <w:sz w:val="20"/>
                <w:szCs w:val="20"/>
              </w:rPr>
              <w:fldChar w:fldCharType="begin">
                <w:ffData>
                  <w:name w:val=""/>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60" w:name="D_AF_06"/>
        <w:tc>
          <w:tcPr>
            <w:tcW w:w="661" w:type="pct"/>
          </w:tcPr>
          <w:p w:rsidR="000D5083" w:rsidRDefault="0082156C">
            <w:pPr>
              <w:jc w:val="right"/>
              <w:rPr>
                <w:vanish/>
                <w:sz w:val="20"/>
                <w:szCs w:val="20"/>
              </w:rPr>
            </w:pPr>
            <w:r>
              <w:rPr>
                <w:sz w:val="20"/>
                <w:szCs w:val="20"/>
              </w:rPr>
              <w:fldChar w:fldCharType="begin">
                <w:ffData>
                  <w:name w:val="D_AF_06"/>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60"/>
            <w:r>
              <w:rPr>
                <w:vanish/>
                <w:sz w:val="20"/>
                <w:szCs w:val="20"/>
              </w:rPr>
              <w:fldChar w:fldCharType="begin">
                <w:ffData>
                  <w:name w:val="GRR_AgncyFee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61" w:name="D_GAAF_TOT_06"/>
        <w:tc>
          <w:tcPr>
            <w:tcW w:w="659" w:type="pct"/>
          </w:tcPr>
          <w:p w:rsidR="000D5083" w:rsidRDefault="0082156C">
            <w:pPr>
              <w:jc w:val="right"/>
              <w:rPr>
                <w:vanish/>
                <w:sz w:val="20"/>
                <w:szCs w:val="20"/>
              </w:rPr>
            </w:pPr>
            <w:r>
              <w:rPr>
                <w:sz w:val="20"/>
                <w:szCs w:val="20"/>
              </w:rPr>
              <w:fldChar w:fldCharType="begin">
                <w:ffData>
                  <w:name w:val="D_GAAF_TOT_06"/>
                  <w:enabled w:val="0"/>
                  <w:calcOnExit/>
                  <w:textInput>
                    <w:type w:val="calculated"/>
                    <w:default w:val="=sum(D_GA_06,D_AF_06)"/>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=sum(D_GA_06,D_AF_06)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61"/>
          </w:p>
        </w:tc>
      </w:tr>
      <w:bookmarkStart w:id="262" w:name="D_Agency_07"/>
      <w:tr w:rsidR="000D5083">
        <w:trPr>
          <w:trHeight w:val="253"/>
        </w:trPr>
        <w:tc>
          <w:tcPr>
            <w:tcW w:w="564" w:type="pct"/>
          </w:tcPr>
          <w:p w:rsidR="000D5083" w:rsidRDefault="0082156C">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62"/>
          </w:p>
        </w:tc>
        <w:bookmarkStart w:id="263" w:name="D_TFTYPE_07"/>
        <w:tc>
          <w:tcPr>
            <w:tcW w:w="694" w:type="pct"/>
          </w:tcPr>
          <w:p w:rsidR="000D5083" w:rsidRDefault="0082156C">
            <w:pPr>
              <w:rPr>
                <w:vanish/>
                <w:sz w:val="20"/>
                <w:szCs w:val="20"/>
              </w:rPr>
            </w:pPr>
            <w:r>
              <w:rPr>
                <w:smallCaps/>
                <w:sz w:val="20"/>
                <w:szCs w:val="20"/>
              </w:rPr>
              <w:fldChar w:fldCharType="begin">
                <w:ffData>
                  <w:name w:val="D_TFTYPE_07"/>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63"/>
            <w:r>
              <w:rPr>
                <w:vanish/>
                <w:sz w:val="20"/>
                <w:szCs w:val="20"/>
              </w:rPr>
              <w:fldChar w:fldCharType="begin">
                <w:ffData>
                  <w:name w:val="TFType_06"/>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64" w:name="D_FocalArea_07"/>
        <w:tc>
          <w:tcPr>
            <w:tcW w:w="1024" w:type="pct"/>
          </w:tcPr>
          <w:p w:rsidR="000D5083" w:rsidRDefault="0082156C">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64"/>
          </w:p>
        </w:tc>
        <w:bookmarkStart w:id="265" w:name="D_Country_07"/>
        <w:tc>
          <w:tcPr>
            <w:tcW w:w="810" w:type="pct"/>
          </w:tcPr>
          <w:p w:rsidR="000D5083" w:rsidRDefault="0082156C">
            <w:pPr>
              <w:rPr>
                <w:vanish/>
                <w:sz w:val="20"/>
                <w:szCs w:val="20"/>
              </w:rPr>
            </w:pPr>
            <w:r>
              <w:rPr>
                <w:sz w:val="20"/>
                <w:szCs w:val="20"/>
              </w:rPr>
              <w:fldChar w:fldCharType="begin">
                <w:ffData>
                  <w:name w:val="D_Country_07"/>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65"/>
            <w:r>
              <w:rPr>
                <w:vanish/>
                <w:sz w:val="20"/>
                <w:szCs w:val="20"/>
              </w:rPr>
              <w:fldChar w:fldCharType="begin">
                <w:ffData>
                  <w:name w:val="BU_Country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66" w:name="D_GA_07"/>
        <w:tc>
          <w:tcPr>
            <w:tcW w:w="587" w:type="pct"/>
          </w:tcPr>
          <w:p w:rsidR="000D5083" w:rsidRDefault="0082156C">
            <w:pPr>
              <w:jc w:val="right"/>
              <w:rPr>
                <w:vanish/>
                <w:sz w:val="20"/>
                <w:szCs w:val="20"/>
              </w:rPr>
            </w:pPr>
            <w:r>
              <w:rPr>
                <w:sz w:val="20"/>
                <w:szCs w:val="20"/>
              </w:rPr>
              <w:fldChar w:fldCharType="begin">
                <w:ffData>
                  <w:name w:val="D_GA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66"/>
            <w:r>
              <w:rPr>
                <w:vanish/>
                <w:sz w:val="20"/>
                <w:szCs w:val="20"/>
              </w:rPr>
              <w:fldChar w:fldCharType="begin">
                <w:ffData>
                  <w:name w:val="GRR_ProjectAmt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67" w:name="D_AF_07"/>
        <w:tc>
          <w:tcPr>
            <w:tcW w:w="661" w:type="pct"/>
          </w:tcPr>
          <w:p w:rsidR="000D5083" w:rsidRDefault="0082156C">
            <w:pPr>
              <w:jc w:val="right"/>
              <w:rPr>
                <w:vanish/>
                <w:sz w:val="20"/>
                <w:szCs w:val="20"/>
              </w:rPr>
            </w:pPr>
            <w:r>
              <w:rPr>
                <w:sz w:val="20"/>
                <w:szCs w:val="20"/>
              </w:rPr>
              <w:fldChar w:fldCharType="begin">
                <w:ffData>
                  <w:name w:val="D_AF_07"/>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67"/>
            <w:r>
              <w:rPr>
                <w:vanish/>
                <w:sz w:val="20"/>
                <w:szCs w:val="20"/>
              </w:rPr>
              <w:fldChar w:fldCharType="begin">
                <w:ffData>
                  <w:name w:val="GRR_AgncyFee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68" w:name="D_GAAF_TOT_07"/>
        <w:tc>
          <w:tcPr>
            <w:tcW w:w="659" w:type="pct"/>
          </w:tcPr>
          <w:p w:rsidR="000D5083" w:rsidRDefault="0082156C">
            <w:pPr>
              <w:jc w:val="right"/>
              <w:rPr>
                <w:vanish/>
                <w:sz w:val="20"/>
                <w:szCs w:val="20"/>
              </w:rPr>
            </w:pPr>
            <w:r>
              <w:rPr>
                <w:sz w:val="20"/>
                <w:szCs w:val="20"/>
              </w:rPr>
              <w:fldChar w:fldCharType="begin">
                <w:ffData>
                  <w:name w:val="D_GAAF_TOT_07"/>
                  <w:enabled w:val="0"/>
                  <w:calcOnExit/>
                  <w:textInput>
                    <w:type w:val="calculated"/>
                    <w:default w:val="=sum(D_GA_07,D_AF_07)"/>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=sum(D_GA_07,D_AF_07)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68"/>
          </w:p>
        </w:tc>
      </w:tr>
      <w:bookmarkStart w:id="269" w:name="D_Agency_08"/>
      <w:tr w:rsidR="000D5083">
        <w:trPr>
          <w:trHeight w:val="253"/>
        </w:trPr>
        <w:tc>
          <w:tcPr>
            <w:tcW w:w="564" w:type="pct"/>
          </w:tcPr>
          <w:p w:rsidR="000D5083" w:rsidRDefault="0082156C">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69"/>
          </w:p>
        </w:tc>
        <w:bookmarkStart w:id="270" w:name="D_TFTYPE_08"/>
        <w:tc>
          <w:tcPr>
            <w:tcW w:w="694" w:type="pct"/>
          </w:tcPr>
          <w:p w:rsidR="000D5083" w:rsidRDefault="0082156C">
            <w:pPr>
              <w:rPr>
                <w:vanish/>
                <w:sz w:val="20"/>
                <w:szCs w:val="20"/>
              </w:rPr>
            </w:pPr>
            <w:r>
              <w:rPr>
                <w:smallCaps/>
                <w:sz w:val="20"/>
                <w:szCs w:val="20"/>
              </w:rPr>
              <w:fldChar w:fldCharType="begin">
                <w:ffData>
                  <w:name w:val="D_TFTYPE_08"/>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70"/>
            <w:r>
              <w:rPr>
                <w:vanish/>
                <w:sz w:val="20"/>
                <w:szCs w:val="20"/>
              </w:rPr>
              <w:fldChar w:fldCharType="begin">
                <w:ffData>
                  <w:name w:val="TFType_06"/>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71" w:name="D_FocalArea_08"/>
        <w:tc>
          <w:tcPr>
            <w:tcW w:w="1024" w:type="pct"/>
          </w:tcPr>
          <w:p w:rsidR="000D5083" w:rsidRDefault="0082156C">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71"/>
          </w:p>
        </w:tc>
        <w:bookmarkStart w:id="272" w:name="D_Country_08"/>
        <w:tc>
          <w:tcPr>
            <w:tcW w:w="810" w:type="pct"/>
          </w:tcPr>
          <w:p w:rsidR="000D5083" w:rsidRDefault="0082156C">
            <w:pPr>
              <w:rPr>
                <w:vanish/>
                <w:sz w:val="20"/>
                <w:szCs w:val="20"/>
              </w:rPr>
            </w:pPr>
            <w:r>
              <w:rPr>
                <w:sz w:val="20"/>
                <w:szCs w:val="20"/>
              </w:rPr>
              <w:fldChar w:fldCharType="begin">
                <w:ffData>
                  <w:name w:val="D_Country_08"/>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72"/>
            <w:r>
              <w:rPr>
                <w:vanish/>
                <w:sz w:val="20"/>
                <w:szCs w:val="20"/>
              </w:rPr>
              <w:fldChar w:fldCharType="begin">
                <w:ffData>
                  <w:name w:val="BU_Country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73" w:name="D_GA_08"/>
        <w:tc>
          <w:tcPr>
            <w:tcW w:w="587" w:type="pct"/>
          </w:tcPr>
          <w:p w:rsidR="000D5083" w:rsidRDefault="0082156C">
            <w:pPr>
              <w:jc w:val="right"/>
              <w:rPr>
                <w:vanish/>
                <w:sz w:val="20"/>
                <w:szCs w:val="20"/>
              </w:rPr>
            </w:pPr>
            <w:r>
              <w:rPr>
                <w:sz w:val="20"/>
                <w:szCs w:val="20"/>
              </w:rPr>
              <w:fldChar w:fldCharType="begin">
                <w:ffData>
                  <w:name w:val="D_GA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73"/>
            <w:r>
              <w:rPr>
                <w:vanish/>
                <w:sz w:val="20"/>
                <w:szCs w:val="20"/>
              </w:rPr>
              <w:fldChar w:fldCharType="begin">
                <w:ffData>
                  <w:name w:val="GRR_ProjectAmt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74" w:name="D_AF_08"/>
        <w:tc>
          <w:tcPr>
            <w:tcW w:w="661" w:type="pct"/>
          </w:tcPr>
          <w:p w:rsidR="000D5083" w:rsidRDefault="0082156C">
            <w:pPr>
              <w:jc w:val="right"/>
              <w:rPr>
                <w:vanish/>
                <w:sz w:val="20"/>
                <w:szCs w:val="20"/>
              </w:rPr>
            </w:pPr>
            <w:r>
              <w:rPr>
                <w:sz w:val="20"/>
                <w:szCs w:val="20"/>
              </w:rPr>
              <w:fldChar w:fldCharType="begin">
                <w:ffData>
                  <w:name w:val="D_AF_08"/>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74"/>
            <w:r>
              <w:rPr>
                <w:vanish/>
                <w:sz w:val="20"/>
                <w:szCs w:val="20"/>
              </w:rPr>
              <w:fldChar w:fldCharType="begin">
                <w:ffData>
                  <w:name w:val="GRR_AgncyFee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75" w:name="D_GAAF_TOT_08"/>
        <w:tc>
          <w:tcPr>
            <w:tcW w:w="659" w:type="pct"/>
          </w:tcPr>
          <w:p w:rsidR="000D5083" w:rsidRDefault="0082156C">
            <w:pPr>
              <w:jc w:val="right"/>
              <w:rPr>
                <w:vanish/>
                <w:sz w:val="20"/>
                <w:szCs w:val="20"/>
              </w:rPr>
            </w:pPr>
            <w:r>
              <w:rPr>
                <w:sz w:val="20"/>
                <w:szCs w:val="20"/>
              </w:rPr>
              <w:fldChar w:fldCharType="begin">
                <w:ffData>
                  <w:name w:val="D_GAAF_TOT_08"/>
                  <w:enabled w:val="0"/>
                  <w:calcOnExit/>
                  <w:textInput>
                    <w:type w:val="calculated"/>
                    <w:default w:val="=sum(D_GA_08,D_AF_08)"/>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=sum(D_GA_08,D_AF_08)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75"/>
          </w:p>
        </w:tc>
      </w:tr>
      <w:bookmarkStart w:id="276" w:name="D_Agency_09"/>
      <w:tr w:rsidR="000D5083">
        <w:trPr>
          <w:trHeight w:val="253"/>
        </w:trPr>
        <w:tc>
          <w:tcPr>
            <w:tcW w:w="564" w:type="pct"/>
          </w:tcPr>
          <w:p w:rsidR="000D5083" w:rsidRDefault="0082156C">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76"/>
          </w:p>
        </w:tc>
        <w:bookmarkStart w:id="277" w:name="D_TFTYPE_09"/>
        <w:tc>
          <w:tcPr>
            <w:tcW w:w="694" w:type="pct"/>
          </w:tcPr>
          <w:p w:rsidR="000D5083" w:rsidRDefault="0082156C">
            <w:pPr>
              <w:rPr>
                <w:vanish/>
                <w:sz w:val="20"/>
                <w:szCs w:val="20"/>
              </w:rPr>
            </w:pPr>
            <w:r>
              <w:rPr>
                <w:smallCaps/>
                <w:sz w:val="20"/>
                <w:szCs w:val="20"/>
              </w:rPr>
              <w:fldChar w:fldCharType="begin">
                <w:ffData>
                  <w:name w:val="D_TFTYPE_09"/>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77"/>
            <w:r>
              <w:rPr>
                <w:vanish/>
                <w:sz w:val="20"/>
                <w:szCs w:val="20"/>
              </w:rPr>
              <w:fldChar w:fldCharType="begin">
                <w:ffData>
                  <w:name w:val="TFType_06"/>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78" w:name="D_FocalArea_09"/>
        <w:tc>
          <w:tcPr>
            <w:tcW w:w="1024" w:type="pct"/>
          </w:tcPr>
          <w:p w:rsidR="000D5083" w:rsidRDefault="0082156C">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78"/>
          </w:p>
        </w:tc>
        <w:bookmarkStart w:id="279" w:name="D_Country_09"/>
        <w:tc>
          <w:tcPr>
            <w:tcW w:w="810" w:type="pct"/>
          </w:tcPr>
          <w:p w:rsidR="000D5083" w:rsidRDefault="0082156C">
            <w:pPr>
              <w:rPr>
                <w:vanish/>
                <w:sz w:val="20"/>
                <w:szCs w:val="20"/>
              </w:rPr>
            </w:pPr>
            <w:r>
              <w:rPr>
                <w:sz w:val="20"/>
                <w:szCs w:val="20"/>
              </w:rPr>
              <w:fldChar w:fldCharType="begin">
                <w:ffData>
                  <w:name w:val="D_Country_09"/>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79"/>
            <w:r>
              <w:rPr>
                <w:vanish/>
                <w:sz w:val="20"/>
                <w:szCs w:val="20"/>
              </w:rPr>
              <w:fldChar w:fldCharType="begin">
                <w:ffData>
                  <w:name w:val="BU_Country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0" w:name="D_GA_09"/>
        <w:tc>
          <w:tcPr>
            <w:tcW w:w="587" w:type="pct"/>
          </w:tcPr>
          <w:p w:rsidR="000D5083" w:rsidRDefault="0082156C">
            <w:pPr>
              <w:jc w:val="right"/>
              <w:rPr>
                <w:vanish/>
                <w:sz w:val="20"/>
                <w:szCs w:val="20"/>
              </w:rPr>
            </w:pPr>
            <w:r>
              <w:rPr>
                <w:sz w:val="20"/>
                <w:szCs w:val="20"/>
              </w:rPr>
              <w:fldChar w:fldCharType="begin">
                <w:ffData>
                  <w:name w:val="D_GA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80"/>
            <w:r>
              <w:rPr>
                <w:vanish/>
                <w:sz w:val="20"/>
                <w:szCs w:val="20"/>
              </w:rPr>
              <w:fldChar w:fldCharType="begin">
                <w:ffData>
                  <w:name w:val="GRR_ProjectAmt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1" w:name="D_AF_09"/>
        <w:tc>
          <w:tcPr>
            <w:tcW w:w="661" w:type="pct"/>
          </w:tcPr>
          <w:p w:rsidR="000D5083" w:rsidRDefault="0082156C">
            <w:pPr>
              <w:jc w:val="right"/>
              <w:rPr>
                <w:vanish/>
                <w:sz w:val="20"/>
                <w:szCs w:val="20"/>
              </w:rPr>
            </w:pPr>
            <w:r>
              <w:rPr>
                <w:sz w:val="20"/>
                <w:szCs w:val="20"/>
              </w:rPr>
              <w:fldChar w:fldCharType="begin">
                <w:ffData>
                  <w:name w:val="D_AF_09"/>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81"/>
            <w:r>
              <w:rPr>
                <w:vanish/>
                <w:sz w:val="20"/>
                <w:szCs w:val="20"/>
              </w:rPr>
              <w:fldChar w:fldCharType="begin">
                <w:ffData>
                  <w:name w:val="GRR_AgncyFee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2" w:name="D_GAAF_TOT_09"/>
        <w:tc>
          <w:tcPr>
            <w:tcW w:w="659" w:type="pct"/>
          </w:tcPr>
          <w:p w:rsidR="000D5083" w:rsidRDefault="0082156C">
            <w:pPr>
              <w:jc w:val="right"/>
              <w:rPr>
                <w:vanish/>
                <w:sz w:val="20"/>
                <w:szCs w:val="20"/>
              </w:rPr>
            </w:pPr>
            <w:r>
              <w:rPr>
                <w:sz w:val="20"/>
                <w:szCs w:val="20"/>
              </w:rPr>
              <w:fldChar w:fldCharType="begin">
                <w:ffData>
                  <w:name w:val="D_GAAF_TOT_09"/>
                  <w:enabled w:val="0"/>
                  <w:calcOnExit/>
                  <w:textInput>
                    <w:type w:val="calculated"/>
                    <w:default w:val="=sum(D_GA_09,D_AF_09)"/>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=sum(D_GA_09,D_AF_09)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82"/>
          </w:p>
        </w:tc>
      </w:tr>
      <w:bookmarkStart w:id="283" w:name="D_Agency_010"/>
      <w:tr w:rsidR="000D5083">
        <w:trPr>
          <w:trHeight w:val="253"/>
        </w:trPr>
        <w:tc>
          <w:tcPr>
            <w:tcW w:w="564" w:type="pct"/>
          </w:tcPr>
          <w:p w:rsidR="000D5083" w:rsidRDefault="0082156C">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D5083">
              <w:rPr>
                <w:sz w:val="20"/>
                <w:szCs w:val="20"/>
              </w:rPr>
              <w:instrText xml:space="preserve"> FORMDROPDOWN </w:instrText>
            </w:r>
            <w:r>
              <w:rPr>
                <w:sz w:val="20"/>
                <w:szCs w:val="20"/>
              </w:rPr>
            </w:r>
            <w:r>
              <w:rPr>
                <w:sz w:val="20"/>
                <w:szCs w:val="20"/>
              </w:rPr>
              <w:fldChar w:fldCharType="end"/>
            </w:r>
            <w:bookmarkEnd w:id="283"/>
          </w:p>
        </w:tc>
        <w:bookmarkStart w:id="284" w:name="D_TFTYPE_010"/>
        <w:tc>
          <w:tcPr>
            <w:tcW w:w="694" w:type="pct"/>
          </w:tcPr>
          <w:p w:rsidR="000D5083" w:rsidRDefault="0082156C">
            <w:pPr>
              <w:rPr>
                <w:vanish/>
                <w:sz w:val="20"/>
                <w:szCs w:val="20"/>
              </w:rPr>
            </w:pPr>
            <w:r>
              <w:rPr>
                <w:smallCaps/>
                <w:sz w:val="20"/>
                <w:szCs w:val="20"/>
              </w:rPr>
              <w:fldChar w:fldCharType="begin">
                <w:ffData>
                  <w:name w:val="D_TFTYPE_010"/>
                  <w:enabled/>
                  <w:calcOnExit w:val="0"/>
                  <w:ddList>
                    <w:listEntry w:val="(select)"/>
                    <w:listEntry w:val="GEF TF"/>
                    <w:listEntry w:val="LDCF"/>
                    <w:listEntry w:val="SCCF"/>
                    <w:listEntry w:val="Multi-TF"/>
                  </w:ddList>
                </w:ffData>
              </w:fldChar>
            </w:r>
            <w:r w:rsidR="000D5083">
              <w:rPr>
                <w:smallCaps/>
                <w:sz w:val="20"/>
                <w:szCs w:val="20"/>
              </w:rPr>
              <w:instrText xml:space="preserve"> FORMDROPDOWN </w:instrText>
            </w:r>
            <w:r>
              <w:rPr>
                <w:smallCaps/>
                <w:sz w:val="20"/>
                <w:szCs w:val="20"/>
              </w:rPr>
            </w:r>
            <w:r>
              <w:rPr>
                <w:smallCaps/>
                <w:sz w:val="20"/>
                <w:szCs w:val="20"/>
              </w:rPr>
              <w:fldChar w:fldCharType="end"/>
            </w:r>
            <w:bookmarkEnd w:id="284"/>
            <w:r>
              <w:rPr>
                <w:vanish/>
                <w:sz w:val="20"/>
                <w:szCs w:val="20"/>
              </w:rPr>
              <w:fldChar w:fldCharType="begin">
                <w:ffData>
                  <w:name w:val="TFType_06"/>
                  <w:enabled/>
                  <w:calcOnExit w:val="0"/>
                  <w:ddList>
                    <w:listEntry w:val="(select)"/>
                    <w:listEntry w:val="GEF TF"/>
                    <w:listEntry w:val="LDCF"/>
                    <w:listEntry w:val="SCCF"/>
                    <w:listEntry w:val="Multi-TF"/>
                  </w:ddList>
                </w:ffData>
              </w:fldChar>
            </w:r>
            <w:r w:rsidR="000D5083">
              <w:rPr>
                <w:vanish/>
                <w:sz w:val="20"/>
                <w:szCs w:val="20"/>
              </w:rPr>
              <w:instrText xml:space="preserve"> FORMDROPDOWN </w:instrText>
            </w:r>
            <w:r>
              <w:rPr>
                <w:vanish/>
                <w:sz w:val="20"/>
                <w:szCs w:val="20"/>
              </w:rPr>
            </w:r>
            <w:r>
              <w:rPr>
                <w:vanish/>
                <w:sz w:val="20"/>
                <w:szCs w:val="20"/>
              </w:rPr>
              <w:fldChar w:fldCharType="end"/>
            </w:r>
          </w:p>
        </w:tc>
        <w:bookmarkStart w:id="285" w:name="D_FocalArea_010"/>
        <w:tc>
          <w:tcPr>
            <w:tcW w:w="1024" w:type="pct"/>
          </w:tcPr>
          <w:p w:rsidR="000D5083" w:rsidRDefault="0082156C">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D5083">
              <w:rPr>
                <w:sz w:val="20"/>
                <w:szCs w:val="20"/>
              </w:rPr>
              <w:instrText xml:space="preserve"> FORMDROPDOWN </w:instrText>
            </w:r>
            <w:r>
              <w:rPr>
                <w:sz w:val="20"/>
                <w:szCs w:val="20"/>
              </w:rPr>
            </w:r>
            <w:r>
              <w:rPr>
                <w:sz w:val="20"/>
                <w:szCs w:val="20"/>
              </w:rPr>
              <w:fldChar w:fldCharType="end"/>
            </w:r>
            <w:bookmarkEnd w:id="285"/>
          </w:p>
        </w:tc>
        <w:bookmarkStart w:id="286" w:name="D_Country_010"/>
        <w:tc>
          <w:tcPr>
            <w:tcW w:w="810" w:type="pct"/>
          </w:tcPr>
          <w:p w:rsidR="000D5083" w:rsidRDefault="0082156C">
            <w:pPr>
              <w:rPr>
                <w:vanish/>
                <w:sz w:val="20"/>
                <w:szCs w:val="20"/>
              </w:rPr>
            </w:pPr>
            <w:r>
              <w:rPr>
                <w:sz w:val="20"/>
                <w:szCs w:val="20"/>
              </w:rPr>
              <w:fldChar w:fldCharType="begin">
                <w:ffData>
                  <w:name w:val="D_Country_010"/>
                  <w:enabled/>
                  <w:calcOnExit w:val="0"/>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86"/>
            <w:r>
              <w:rPr>
                <w:vanish/>
                <w:sz w:val="20"/>
                <w:szCs w:val="20"/>
              </w:rPr>
              <w:fldChar w:fldCharType="begin">
                <w:ffData>
                  <w:name w:val="BU_Country_06"/>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7" w:name="D_GA_010"/>
        <w:tc>
          <w:tcPr>
            <w:tcW w:w="587" w:type="pct"/>
          </w:tcPr>
          <w:p w:rsidR="000D5083" w:rsidRDefault="0082156C">
            <w:pPr>
              <w:jc w:val="right"/>
              <w:rPr>
                <w:vanish/>
                <w:sz w:val="20"/>
                <w:szCs w:val="20"/>
              </w:rPr>
            </w:pPr>
            <w:r>
              <w:rPr>
                <w:sz w:val="20"/>
                <w:szCs w:val="20"/>
              </w:rPr>
              <w:fldChar w:fldCharType="begin">
                <w:ffData>
                  <w:name w:val="D_GA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87"/>
            <w:r>
              <w:rPr>
                <w:vanish/>
                <w:sz w:val="20"/>
                <w:szCs w:val="20"/>
              </w:rPr>
              <w:fldChar w:fldCharType="begin">
                <w:ffData>
                  <w:name w:val="GRR_ProjectAmt_06"/>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8" w:name="D_AF_010"/>
        <w:tc>
          <w:tcPr>
            <w:tcW w:w="661" w:type="pct"/>
          </w:tcPr>
          <w:p w:rsidR="000D5083" w:rsidRDefault="0082156C">
            <w:pPr>
              <w:jc w:val="right"/>
              <w:rPr>
                <w:vanish/>
                <w:sz w:val="20"/>
                <w:szCs w:val="20"/>
              </w:rPr>
            </w:pPr>
            <w:r>
              <w:rPr>
                <w:sz w:val="20"/>
                <w:szCs w:val="20"/>
              </w:rPr>
              <w:fldChar w:fldCharType="begin">
                <w:ffData>
                  <w:name w:val="D_AF_010"/>
                  <w:enabled/>
                  <w:calcOnExit/>
                  <w:textInput>
                    <w:type w:val="number"/>
                  </w:textInput>
                </w:ffData>
              </w:fldChar>
            </w:r>
            <w:r w:rsidR="000D5083">
              <w:rPr>
                <w:sz w:val="20"/>
                <w:szCs w:val="20"/>
              </w:rPr>
              <w:instrText xml:space="preserve"> FORMTEXT </w:instrText>
            </w:r>
            <w:r>
              <w:rPr>
                <w:sz w:val="20"/>
                <w:szCs w:val="20"/>
              </w:rPr>
            </w:r>
            <w:r>
              <w:rPr>
                <w:sz w:val="20"/>
                <w:szCs w:val="20"/>
              </w:rPr>
              <w:fldChar w:fldCharType="separate"/>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sidR="000D5083">
              <w:rPr>
                <w:noProof/>
                <w:sz w:val="20"/>
                <w:szCs w:val="20"/>
              </w:rPr>
              <w:t> </w:t>
            </w:r>
            <w:r>
              <w:rPr>
                <w:sz w:val="20"/>
                <w:szCs w:val="20"/>
              </w:rPr>
              <w:fldChar w:fldCharType="end"/>
            </w:r>
            <w:bookmarkEnd w:id="288"/>
            <w:r>
              <w:rPr>
                <w:vanish/>
                <w:sz w:val="20"/>
                <w:szCs w:val="20"/>
              </w:rPr>
              <w:fldChar w:fldCharType="begin">
                <w:ffData>
                  <w:name w:val=""/>
                  <w:enabled/>
                  <w:calcOnExit w:val="0"/>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r>
              <w:rPr>
                <w:vanish/>
                <w:sz w:val="20"/>
                <w:szCs w:val="20"/>
              </w:rPr>
              <w:fldChar w:fldCharType="begin">
                <w:ffData>
                  <w:name w:val=""/>
                  <w:enabled/>
                  <w:calcOnExit/>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r>
              <w:rPr>
                <w:vanish/>
                <w:sz w:val="20"/>
                <w:szCs w:val="20"/>
              </w:rPr>
              <w:fldChar w:fldCharType="begin">
                <w:ffData>
                  <w:name w:val=""/>
                  <w:enabled/>
                  <w:calcOnExit/>
                  <w:textInput>
                    <w:type w:val="number"/>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sidR="000D5083">
              <w:rPr>
                <w:noProof/>
                <w:vanish/>
                <w:sz w:val="20"/>
                <w:szCs w:val="20"/>
              </w:rPr>
              <w:t> </w:t>
            </w:r>
            <w:r>
              <w:rPr>
                <w:vanish/>
                <w:sz w:val="20"/>
                <w:szCs w:val="20"/>
              </w:rPr>
              <w:fldChar w:fldCharType="end"/>
            </w:r>
          </w:p>
        </w:tc>
        <w:bookmarkStart w:id="289" w:name="D_GAAF_TOT_010"/>
        <w:tc>
          <w:tcPr>
            <w:tcW w:w="659" w:type="pct"/>
          </w:tcPr>
          <w:p w:rsidR="000D5083" w:rsidRDefault="0082156C">
            <w:pPr>
              <w:jc w:val="right"/>
              <w:rPr>
                <w:vanish/>
                <w:sz w:val="20"/>
                <w:szCs w:val="20"/>
              </w:rPr>
            </w:pPr>
            <w:r>
              <w:rPr>
                <w:sz w:val="20"/>
                <w:szCs w:val="20"/>
              </w:rPr>
              <w:fldChar w:fldCharType="begin">
                <w:ffData>
                  <w:name w:val="D_GAAF_TOT_010"/>
                  <w:enabled w:val="0"/>
                  <w:calcOnExit/>
                  <w:textInput>
                    <w:type w:val="calculated"/>
                    <w:default w:val="=sum(D_GA_010,D_AF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=sum(D_GA_010,D_AF_010) </w:instrText>
            </w:r>
            <w:r>
              <w:rPr>
                <w:sz w:val="20"/>
                <w:szCs w:val="20"/>
              </w:rPr>
              <w:fldChar w:fldCharType="separate"/>
            </w:r>
            <w:r w:rsidR="0061067E">
              <w:rPr>
                <w:noProof/>
                <w:sz w:val="20"/>
                <w:szCs w:val="20"/>
              </w:rPr>
              <w:instrText>0</w:instrText>
            </w:r>
            <w:r>
              <w:rPr>
                <w:sz w:val="20"/>
                <w:szCs w:val="20"/>
              </w:rPr>
              <w:fldChar w:fldCharType="end"/>
            </w:r>
            <w:r>
              <w:rPr>
                <w:sz w:val="20"/>
                <w:szCs w:val="20"/>
              </w:rPr>
            </w:r>
            <w:r>
              <w:rPr>
                <w:sz w:val="20"/>
                <w:szCs w:val="20"/>
              </w:rPr>
              <w:fldChar w:fldCharType="separate"/>
            </w:r>
            <w:r w:rsidR="0061067E">
              <w:rPr>
                <w:noProof/>
                <w:sz w:val="20"/>
                <w:szCs w:val="20"/>
              </w:rPr>
              <w:t>0</w:t>
            </w:r>
            <w:r>
              <w:rPr>
                <w:sz w:val="20"/>
                <w:szCs w:val="20"/>
              </w:rPr>
              <w:fldChar w:fldCharType="end"/>
            </w:r>
            <w:bookmarkEnd w:id="289"/>
          </w:p>
        </w:tc>
      </w:tr>
      <w:tr w:rsidR="000D5083">
        <w:trPr>
          <w:trHeight w:val="253"/>
        </w:trPr>
        <w:tc>
          <w:tcPr>
            <w:tcW w:w="3093" w:type="pct"/>
            <w:gridSpan w:val="4"/>
            <w:tcBorders>
              <w:top w:val="double" w:sz="4" w:space="0" w:color="auto"/>
            </w:tcBorders>
          </w:tcPr>
          <w:p w:rsidR="000D5083" w:rsidRDefault="000D5083">
            <w:pPr>
              <w:rPr>
                <w:sz w:val="20"/>
                <w:szCs w:val="20"/>
              </w:rPr>
            </w:pPr>
            <w:r>
              <w:rPr>
                <w:b/>
                <w:bCs/>
                <w:sz w:val="20"/>
                <w:szCs w:val="20"/>
              </w:rPr>
              <w:t>Total Grant Resources</w:t>
            </w:r>
          </w:p>
        </w:tc>
        <w:bookmarkStart w:id="290" w:name="D_GA_TOT"/>
        <w:tc>
          <w:tcPr>
            <w:tcW w:w="587" w:type="pct"/>
            <w:tcBorders>
              <w:top w:val="double" w:sz="4" w:space="0" w:color="auto"/>
            </w:tcBorders>
          </w:tcPr>
          <w:p w:rsidR="000D5083" w:rsidRDefault="0082156C">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=sum(D_GA_01,D_GA_02,D_GA_03,D_GA_04,D_GA_05,D_GA_06,D_GA_07,D_GA_08,D_GA_09,D_GA_010) </w:instrText>
            </w:r>
            <w:r>
              <w:rPr>
                <w:sz w:val="20"/>
                <w:szCs w:val="20"/>
              </w:rPr>
              <w:fldChar w:fldCharType="separate"/>
            </w:r>
            <w:r w:rsidR="0061067E">
              <w:rPr>
                <w:noProof/>
                <w:sz w:val="20"/>
                <w:szCs w:val="20"/>
              </w:rPr>
              <w:instrText>3885000</w:instrText>
            </w:r>
            <w:r>
              <w:rPr>
                <w:sz w:val="20"/>
                <w:szCs w:val="20"/>
              </w:rPr>
              <w:fldChar w:fldCharType="end"/>
            </w:r>
            <w:r>
              <w:rPr>
                <w:sz w:val="20"/>
                <w:szCs w:val="20"/>
              </w:rPr>
            </w:r>
            <w:r>
              <w:rPr>
                <w:sz w:val="20"/>
                <w:szCs w:val="20"/>
              </w:rPr>
              <w:fldChar w:fldCharType="separate"/>
            </w:r>
            <w:r w:rsidR="0061067E">
              <w:rPr>
                <w:noProof/>
                <w:sz w:val="20"/>
                <w:szCs w:val="20"/>
              </w:rPr>
              <w:t>3885000</w:t>
            </w:r>
            <w:r>
              <w:rPr>
                <w:sz w:val="20"/>
                <w:szCs w:val="20"/>
              </w:rPr>
              <w:fldChar w:fldCharType="end"/>
            </w:r>
            <w:bookmarkEnd w:id="290"/>
          </w:p>
        </w:tc>
        <w:bookmarkStart w:id="291" w:name="D_AF_TOT"/>
        <w:tc>
          <w:tcPr>
            <w:tcW w:w="661" w:type="pct"/>
            <w:tcBorders>
              <w:top w:val="double" w:sz="4" w:space="0" w:color="auto"/>
            </w:tcBorders>
          </w:tcPr>
          <w:p w:rsidR="000D5083" w:rsidRDefault="0082156C">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=sum(D_AF_01,D_AF_02,D_AF_03,D_AF_04,D_AF_05,D_AF_06,D_AF_07,D_AF_08,D_AF_09,D_AF_010) </w:instrText>
            </w:r>
            <w:r>
              <w:rPr>
                <w:sz w:val="20"/>
                <w:szCs w:val="20"/>
              </w:rPr>
              <w:fldChar w:fldCharType="separate"/>
            </w:r>
            <w:r w:rsidR="0061067E">
              <w:rPr>
                <w:noProof/>
                <w:sz w:val="20"/>
                <w:szCs w:val="20"/>
              </w:rPr>
              <w:instrText>388500</w:instrText>
            </w:r>
            <w:r>
              <w:rPr>
                <w:sz w:val="20"/>
                <w:szCs w:val="20"/>
              </w:rPr>
              <w:fldChar w:fldCharType="end"/>
            </w:r>
            <w:r>
              <w:rPr>
                <w:sz w:val="20"/>
                <w:szCs w:val="20"/>
              </w:rPr>
            </w:r>
            <w:r>
              <w:rPr>
                <w:sz w:val="20"/>
                <w:szCs w:val="20"/>
              </w:rPr>
              <w:fldChar w:fldCharType="separate"/>
            </w:r>
            <w:r w:rsidR="0061067E">
              <w:rPr>
                <w:noProof/>
                <w:sz w:val="20"/>
                <w:szCs w:val="20"/>
              </w:rPr>
              <w:t>388500</w:t>
            </w:r>
            <w:r>
              <w:rPr>
                <w:sz w:val="20"/>
                <w:szCs w:val="20"/>
              </w:rPr>
              <w:fldChar w:fldCharType="end"/>
            </w:r>
            <w:bookmarkEnd w:id="291"/>
          </w:p>
        </w:tc>
        <w:bookmarkStart w:id="292" w:name="TOTGAAFTOT"/>
        <w:tc>
          <w:tcPr>
            <w:tcW w:w="659" w:type="pct"/>
            <w:tcBorders>
              <w:top w:val="double" w:sz="4" w:space="0" w:color="auto"/>
            </w:tcBorders>
          </w:tcPr>
          <w:p w:rsidR="000D5083" w:rsidRDefault="0082156C">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0D5083">
              <w:rPr>
                <w:sz w:val="20"/>
                <w:szCs w:val="20"/>
              </w:rPr>
              <w:instrText xml:space="preserve"> FORMTEXT </w:instrText>
            </w:r>
            <w:r>
              <w:rPr>
                <w:sz w:val="20"/>
                <w:szCs w:val="20"/>
              </w:rPr>
              <w:fldChar w:fldCharType="begin"/>
            </w:r>
            <w:r w:rsidR="000D5083">
              <w:rPr>
                <w:sz w:val="20"/>
                <w:szCs w:val="20"/>
              </w:rPr>
              <w:instrText xml:space="preserve"> =sum(D_GA_TOT,D_AF_TOT) </w:instrText>
            </w:r>
            <w:r>
              <w:rPr>
                <w:sz w:val="20"/>
                <w:szCs w:val="20"/>
              </w:rPr>
              <w:fldChar w:fldCharType="separate"/>
            </w:r>
            <w:r w:rsidR="0061067E">
              <w:rPr>
                <w:noProof/>
                <w:sz w:val="20"/>
                <w:szCs w:val="20"/>
              </w:rPr>
              <w:instrText>4273500</w:instrText>
            </w:r>
            <w:r>
              <w:rPr>
                <w:sz w:val="20"/>
                <w:szCs w:val="20"/>
              </w:rPr>
              <w:fldChar w:fldCharType="end"/>
            </w:r>
            <w:r>
              <w:rPr>
                <w:sz w:val="20"/>
                <w:szCs w:val="20"/>
              </w:rPr>
            </w:r>
            <w:r>
              <w:rPr>
                <w:sz w:val="20"/>
                <w:szCs w:val="20"/>
              </w:rPr>
              <w:fldChar w:fldCharType="separate"/>
            </w:r>
            <w:r w:rsidR="0061067E">
              <w:rPr>
                <w:noProof/>
                <w:sz w:val="20"/>
                <w:szCs w:val="20"/>
              </w:rPr>
              <w:t>4273500</w:t>
            </w:r>
            <w:r>
              <w:rPr>
                <w:sz w:val="20"/>
                <w:szCs w:val="20"/>
              </w:rPr>
              <w:fldChar w:fldCharType="end"/>
            </w:r>
            <w:bookmarkEnd w:id="292"/>
          </w:p>
        </w:tc>
      </w:tr>
    </w:tbl>
    <w:p w:rsidR="000D5083" w:rsidRDefault="000D5083">
      <w:pPr>
        <w:pStyle w:val="Footer"/>
        <w:tabs>
          <w:tab w:val="clear" w:pos="4320"/>
          <w:tab w:val="clear" w:pos="8640"/>
        </w:tabs>
        <w:ind w:left="-90"/>
        <w:rPr>
          <w:sz w:val="18"/>
          <w:szCs w:val="18"/>
        </w:rPr>
      </w:pPr>
      <w:r>
        <w:rPr>
          <w:smallCaps/>
          <w:sz w:val="18"/>
          <w:szCs w:val="18"/>
          <w:vertAlign w:val="superscript"/>
        </w:rPr>
        <w:t xml:space="preserve">1 </w:t>
      </w:r>
      <w:r>
        <w:rPr>
          <w:sz w:val="18"/>
          <w:szCs w:val="18"/>
        </w:rPr>
        <w:t xml:space="preserve">In case of a single focal area, single country, single GEF Agency project, and single trust fund project, no need to provide </w:t>
      </w:r>
      <w:r>
        <w:rPr>
          <w:sz w:val="18"/>
          <w:szCs w:val="18"/>
        </w:rPr>
        <w:br/>
        <w:t xml:space="preserve">    information for this table</w:t>
      </w:r>
    </w:p>
    <w:p w:rsidR="000D5083" w:rsidRDefault="000D5083">
      <w:pPr>
        <w:pStyle w:val="Footer"/>
        <w:tabs>
          <w:tab w:val="clear" w:pos="4320"/>
          <w:tab w:val="clear" w:pos="8640"/>
        </w:tabs>
        <w:ind w:left="-90"/>
        <w:rPr>
          <w:sz w:val="18"/>
          <w:szCs w:val="18"/>
        </w:rPr>
      </w:pPr>
      <w:r>
        <w:rPr>
          <w:smallCaps/>
          <w:sz w:val="18"/>
          <w:szCs w:val="18"/>
          <w:vertAlign w:val="superscript"/>
        </w:rPr>
        <w:t>2</w:t>
      </w:r>
      <w:r>
        <w:rPr>
          <w:sz w:val="18"/>
          <w:szCs w:val="18"/>
        </w:rPr>
        <w:t>Please indicate fees related to this project.</w:t>
      </w:r>
    </w:p>
    <w:p w:rsidR="000D5083" w:rsidRDefault="000D5083">
      <w:pPr>
        <w:pStyle w:val="Footer"/>
        <w:rPr>
          <w:b/>
          <w:bCs/>
          <w:caps/>
          <w:sz w:val="22"/>
          <w:szCs w:val="22"/>
          <w:u w:val="single"/>
        </w:rPr>
        <w:sectPr w:rsidR="000D5083">
          <w:footerReference w:type="default" r:id="rId11"/>
          <w:pgSz w:w="12240" w:h="15840" w:code="1"/>
          <w:pgMar w:top="1152" w:right="1080" w:bottom="1152" w:left="1620" w:header="720" w:footer="0" w:gutter="0"/>
          <w:cols w:space="720"/>
          <w:docGrid w:linePitch="360"/>
        </w:sectPr>
      </w:pPr>
    </w:p>
    <w:p w:rsidR="000D5083" w:rsidRDefault="000D5083">
      <w:pPr>
        <w:pStyle w:val="Footer"/>
        <w:rPr>
          <w:b/>
          <w:bCs/>
          <w:caps/>
          <w:sz w:val="22"/>
          <w:szCs w:val="22"/>
          <w:u w:val="single"/>
        </w:rPr>
      </w:pPr>
      <w:r>
        <w:rPr>
          <w:b/>
          <w:bCs/>
          <w:caps/>
          <w:sz w:val="22"/>
          <w:szCs w:val="22"/>
          <w:u w:val="single"/>
        </w:rPr>
        <w:t>part ii:  project JustiFication</w:t>
      </w:r>
    </w:p>
    <w:p w:rsidR="000D5083" w:rsidRDefault="000D5083">
      <w:pPr>
        <w:numPr>
          <w:ilvl w:val="0"/>
          <w:numId w:val="1"/>
        </w:numPr>
        <w:tabs>
          <w:tab w:val="clear" w:pos="720"/>
        </w:tabs>
        <w:spacing w:after="80"/>
        <w:ind w:left="360"/>
        <w:rPr>
          <w:sz w:val="22"/>
          <w:szCs w:val="22"/>
        </w:rPr>
      </w:pPr>
      <w:r>
        <w:rPr>
          <w:b/>
          <w:bCs/>
          <w:smallCaps/>
          <w:sz w:val="22"/>
          <w:szCs w:val="22"/>
        </w:rPr>
        <w:t>Description of the consistency of theproject with:</w:t>
      </w:r>
    </w:p>
    <w:p w:rsidR="000D5083" w:rsidRDefault="000D5083">
      <w:pPr>
        <w:spacing w:after="80"/>
        <w:ind w:left="360"/>
        <w:rPr>
          <w:sz w:val="22"/>
          <w:szCs w:val="22"/>
        </w:rPr>
      </w:pPr>
      <w:r>
        <w:rPr>
          <w:sz w:val="22"/>
          <w:szCs w:val="22"/>
        </w:rPr>
        <w:t xml:space="preserve">A.1.1   the </w:t>
      </w:r>
      <w:hyperlink r:id="rId12" w:history="1">
        <w:r>
          <w:rPr>
            <w:rStyle w:val="Hyperlink"/>
            <w:sz w:val="22"/>
            <w:szCs w:val="22"/>
          </w:rPr>
          <w:t>GEF focal area</w:t>
        </w:r>
      </w:hyperlink>
      <w:r>
        <w:rPr>
          <w:sz w:val="22"/>
          <w:szCs w:val="22"/>
        </w:rPr>
        <w:t>/</w:t>
      </w:r>
      <w:hyperlink r:id="rId13" w:history="1">
        <w:r>
          <w:rPr>
            <w:rStyle w:val="Hyperlink"/>
            <w:sz w:val="22"/>
            <w:szCs w:val="22"/>
          </w:rPr>
          <w:t>LDCF/SCCF</w:t>
        </w:r>
      </w:hyperlink>
      <w:r>
        <w:rPr>
          <w:sz w:val="22"/>
          <w:szCs w:val="22"/>
        </w:rPr>
        <w:t xml:space="preserve"> strategies:  </w:t>
      </w:r>
    </w:p>
    <w:tbl>
      <w:tblPr>
        <w:tblW w:w="9588" w:type="dxa"/>
        <w:tblInd w:w="-106" w:type="dxa"/>
        <w:tblLook w:val="00A0"/>
      </w:tblPr>
      <w:tblGrid>
        <w:gridCol w:w="9588"/>
      </w:tblGrid>
      <w:tr w:rsidR="000D5083">
        <w:tc>
          <w:tcPr>
            <w:tcW w:w="9588" w:type="dxa"/>
          </w:tcPr>
          <w:p w:rsidR="000D5083" w:rsidRDefault="000D5083">
            <w:pPr>
              <w:spacing w:after="144"/>
              <w:jc w:val="both"/>
              <w:rPr>
                <w:rFonts w:ascii="Calibri" w:hAnsi="Calibri" w:cs="Calibri"/>
                <w:sz w:val="20"/>
                <w:szCs w:val="20"/>
              </w:rPr>
            </w:pPr>
            <w:r>
              <w:rPr>
                <w:rFonts w:ascii="Calibri" w:hAnsi="Calibri" w:cs="Calibri"/>
                <w:caps/>
                <w:sz w:val="20"/>
                <w:szCs w:val="20"/>
              </w:rPr>
              <w:t xml:space="preserve">Climate Change Mitigation FOcal Area: </w:t>
            </w:r>
            <w:r>
              <w:rPr>
                <w:rFonts w:ascii="Calibri" w:hAnsi="Calibri" w:cs="Calibri"/>
                <w:sz w:val="20"/>
                <w:szCs w:val="20"/>
              </w:rPr>
              <w:t>This project will be submitted under the Climate Change Mitigation (CCM) focal area, which goal is “to support developing countries and economies in transition toward a low-carbon development path”. The expected impact of this focal area is “slower growth in GHG emissions and contribution to the stabilization of GHG concentrations in the atmosphere”. In particular, the project will target CCM-Objective 2 (i.e.; Energy Efficiency) which aims to “promote market transformation for energy efficiency in industry and the building sector”.</w:t>
            </w:r>
          </w:p>
          <w:p w:rsidR="000D5083" w:rsidRDefault="000D5083">
            <w:pPr>
              <w:autoSpaceDE w:val="0"/>
              <w:autoSpaceDN w:val="0"/>
              <w:adjustRightInd w:val="0"/>
              <w:spacing w:after="144"/>
              <w:jc w:val="both"/>
              <w:rPr>
                <w:rFonts w:ascii="Calibri" w:hAnsi="Calibri" w:cs="Calibri"/>
                <w:sz w:val="20"/>
                <w:szCs w:val="20"/>
              </w:rPr>
            </w:pPr>
            <w:r>
              <w:rPr>
                <w:rFonts w:ascii="Calibri" w:hAnsi="Calibri" w:cs="Calibri"/>
                <w:sz w:val="20"/>
                <w:szCs w:val="20"/>
              </w:rPr>
              <w:t xml:space="preserve">During GEF-5, projects under this objective will aim at stepping up policy interventions as well as scaling up energy efficiency investments across all developing countries and economies in transition at different stages of development. In the building sector, GEF support will cover residential, commercial, and public buildings, and include both new buildings and retrofitting of existing buildings. It covers the entire spectrum of the building sector, including the building envelope, the energy-consuming systems, appliances, and equipment used for heating, cooling, lighting, and building operations. Project activities may incorporate the use of solar energy and thermal capacity of shallow ground for heating and cooling in the building system. Emphasis will be placed on integrated and systemic approaches and high performance buildings, appliances, and equipment. Promotion of energy efficient cookstoves will be covered under this objective. Consistent with “chemical proofing” and in order to build synergy across Conventions, projects aligned with this objective may extend to supporting the phase-out of hydrochlorofluorocarbons (HCFCs) used in industry and buildings such as chillers, air conditioners, and refrigerators, even before the required phase-out dates under the Montreal Protocol. The replacement of older equipment should be done with new one that both operates more efficiently and uses chemicals with lower global warming potential, while minimizing the use of chemicals damaging to the ozone layer. </w:t>
            </w:r>
          </w:p>
          <w:p w:rsidR="000D5083" w:rsidRDefault="000D5083">
            <w:pPr>
              <w:autoSpaceDE w:val="0"/>
              <w:autoSpaceDN w:val="0"/>
              <w:adjustRightInd w:val="0"/>
              <w:spacing w:after="144"/>
              <w:jc w:val="both"/>
              <w:rPr>
                <w:rFonts w:ascii="Calibri" w:hAnsi="Calibri" w:cs="Calibri"/>
                <w:sz w:val="20"/>
                <w:szCs w:val="20"/>
              </w:rPr>
            </w:pPr>
            <w:r>
              <w:rPr>
                <w:rFonts w:ascii="Calibri" w:hAnsi="Calibri" w:cs="Calibri"/>
                <w:sz w:val="20"/>
                <w:szCs w:val="20"/>
              </w:rPr>
              <w:t>GEF support under this objective will involve a synergistic combination of technical assistance on policy, regulation, and institutional capacity building; incentives and financing mechanisms to support the adoption of energy efficiency technologies and measures; piloting innovative technologies, practices, and delivery mechanisms; and support for large-scale dissemination activities.</w:t>
            </w:r>
          </w:p>
          <w:p w:rsidR="000D5083" w:rsidRDefault="000D5083">
            <w:pPr>
              <w:autoSpaceDE w:val="0"/>
              <w:autoSpaceDN w:val="0"/>
              <w:adjustRightInd w:val="0"/>
              <w:rPr>
                <w:rFonts w:ascii="Calibri" w:hAnsi="Calibri" w:cs="Calibri"/>
                <w:sz w:val="20"/>
                <w:szCs w:val="20"/>
              </w:rPr>
            </w:pPr>
            <w:r>
              <w:rPr>
                <w:rFonts w:ascii="Calibri" w:hAnsi="Calibri" w:cs="Calibri"/>
                <w:sz w:val="20"/>
                <w:szCs w:val="20"/>
              </w:rPr>
              <w:t>Successful outcomes of this objective, with their corresponding indicators,  will include:</w:t>
            </w:r>
          </w:p>
          <w:p w:rsidR="000D5083" w:rsidRDefault="000D5083">
            <w:pPr>
              <w:pStyle w:val="ListParagraph"/>
            </w:pPr>
            <w:r>
              <w:t>Outcome 2.1: Appropriate policy, legal and regulatory frameworks adopted and enforced</w:t>
            </w:r>
          </w:p>
          <w:p w:rsidR="000D5083" w:rsidRDefault="000D5083">
            <w:pPr>
              <w:pStyle w:val="ListParagraph"/>
            </w:pPr>
            <w:r>
              <w:t xml:space="preserve">Indicator 2.1: Extent to which EE policies and regulations are adopted and enforced </w:t>
            </w:r>
          </w:p>
          <w:p w:rsidR="000D5083" w:rsidRDefault="000D5083">
            <w:pPr>
              <w:pStyle w:val="ListParagraph"/>
            </w:pPr>
            <w:r>
              <w:t>Outcome 2.2: Sustainable financing and delivery mechanisms established and operational</w:t>
            </w:r>
          </w:p>
          <w:p w:rsidR="000D5083" w:rsidRDefault="000D5083">
            <w:pPr>
              <w:pStyle w:val="ListParagraph"/>
            </w:pPr>
            <w:r>
              <w:t xml:space="preserve">Indicator2.2: Volume of investment mobilized </w:t>
            </w:r>
          </w:p>
          <w:p w:rsidR="000D5083" w:rsidRDefault="000D5083">
            <w:pPr>
              <w:rPr>
                <w:rFonts w:ascii="Calibri" w:hAnsi="Calibri" w:cs="Calibri"/>
                <w:sz w:val="20"/>
                <w:szCs w:val="20"/>
              </w:rPr>
            </w:pPr>
            <w:r>
              <w:rPr>
                <w:rFonts w:ascii="Calibri" w:hAnsi="Calibri" w:cs="Calibri"/>
                <w:sz w:val="20"/>
                <w:szCs w:val="20"/>
              </w:rPr>
              <w:t>The ‘Expected Outputs’ are:</w:t>
            </w:r>
          </w:p>
          <w:p w:rsidR="000D5083" w:rsidRDefault="000D5083">
            <w:pPr>
              <w:pStyle w:val="ListParagraph"/>
            </w:pPr>
            <w:r>
              <w:t>Energy efficiency policy and regulation in place</w:t>
            </w:r>
          </w:p>
          <w:p w:rsidR="000D5083" w:rsidRDefault="000D5083">
            <w:pPr>
              <w:pStyle w:val="ListParagraph"/>
            </w:pPr>
            <w:r>
              <w:t>Investment mobilized</w:t>
            </w:r>
          </w:p>
          <w:p w:rsidR="000D5083" w:rsidRDefault="000D5083">
            <w:pPr>
              <w:pStyle w:val="ListParagraph"/>
            </w:pPr>
            <w:r>
              <w:t>Energy savings achieved</w:t>
            </w:r>
          </w:p>
          <w:p w:rsidR="000D5083" w:rsidRDefault="000D5083">
            <w:pPr>
              <w:jc w:val="both"/>
              <w:rPr>
                <w:rFonts w:ascii="Calibri" w:hAnsi="Calibri" w:cs="Calibri"/>
                <w:sz w:val="20"/>
                <w:szCs w:val="20"/>
              </w:rPr>
            </w:pPr>
            <w:r>
              <w:rPr>
                <w:rFonts w:ascii="Calibri" w:hAnsi="Calibri" w:cs="Calibri"/>
                <w:smallCaps/>
                <w:sz w:val="20"/>
                <w:szCs w:val="20"/>
                <w:u w:val="single"/>
              </w:rPr>
              <w:t>Use of Flexible Allocation</w:t>
            </w:r>
            <w:r>
              <w:rPr>
                <w:rFonts w:ascii="Calibri" w:hAnsi="Calibri" w:cs="Calibri"/>
                <w:sz w:val="20"/>
                <w:szCs w:val="20"/>
              </w:rPr>
              <w:t>: Consultations were undertaken among the three sectors, namely Climate Change (CC), Biodiversity (BD) and Land Degradation (LD) on how to utilize the STAR allocation. All sectors agreed as the CC being at the highest priority and involve activities that require resources and urgent implementation actions. Moreover, the issue has been extensively discussed at the Climate Change Advisory Council chaired by the Vice President and it was unanimously agreed to use the entire STAR allocation on CC focal area. Due to the limited amount of funds available for the Maldives under GEF, it was felt that rather than dividing the allocation under various focal areas, it would be more beneficial to the country if the entire amount could be allocated to one single sector. In this regard, CC was chosen because of its strategic importance to the nation and since there are two ongoing GEF funded projects in the areas of Biodiversity Conservation and Land Degradation.</w:t>
            </w:r>
          </w:p>
          <w:p w:rsidR="000D5083" w:rsidRDefault="000D5083">
            <w:pPr>
              <w:rPr>
                <w:rFonts w:ascii="Calibri" w:hAnsi="Calibri" w:cs="Calibri"/>
                <w:sz w:val="20"/>
                <w:szCs w:val="20"/>
              </w:rPr>
            </w:pPr>
          </w:p>
          <w:p w:rsidR="000D5083" w:rsidRDefault="000D5083">
            <w:pPr>
              <w:rPr>
                <w:rFonts w:ascii="Calibri" w:hAnsi="Calibri" w:cs="Calibri"/>
                <w:sz w:val="20"/>
                <w:szCs w:val="20"/>
              </w:rPr>
            </w:pPr>
          </w:p>
        </w:tc>
      </w:tr>
    </w:tbl>
    <w:p w:rsidR="000D5083" w:rsidRDefault="000D5083">
      <w:pPr>
        <w:spacing w:before="120" w:after="80"/>
        <w:ind w:left="1080" w:hanging="720"/>
        <w:rPr>
          <w:sz w:val="22"/>
          <w:szCs w:val="22"/>
        </w:rPr>
      </w:pPr>
      <w:r>
        <w:rPr>
          <w:sz w:val="22"/>
          <w:szCs w:val="22"/>
        </w:rPr>
        <w:t xml:space="preserve">A.1.2.   For projects funded from LDCF/SCCF:  the LDCF/SCCF eligibility criteria and               priorities:  </w:t>
      </w:r>
    </w:p>
    <w:tbl>
      <w:tblPr>
        <w:tblW w:w="0" w:type="auto"/>
        <w:tblInd w:w="-106" w:type="dxa"/>
        <w:tblLook w:val="00A0"/>
      </w:tblPr>
      <w:tblGrid>
        <w:gridCol w:w="8478"/>
      </w:tblGrid>
      <w:tr w:rsidR="000D5083">
        <w:tc>
          <w:tcPr>
            <w:tcW w:w="8478" w:type="dxa"/>
          </w:tcPr>
          <w:bookmarkStart w:id="293" w:name="eligibilityCriteria"/>
          <w:p w:rsidR="000D5083" w:rsidRDefault="0082156C">
            <w:pPr>
              <w:spacing w:after="80"/>
            </w:pPr>
            <w:r>
              <w:rPr>
                <w:sz w:val="22"/>
                <w:szCs w:val="22"/>
              </w:rPr>
              <w:fldChar w:fldCharType="begin">
                <w:ffData>
                  <w:name w:val="eligibilityCriteria"/>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293"/>
          </w:p>
        </w:tc>
      </w:tr>
    </w:tbl>
    <w:p w:rsidR="000D5083" w:rsidRDefault="000D5083">
      <w:pPr>
        <w:spacing w:after="80"/>
        <w:ind w:left="900" w:hanging="540"/>
        <w:rPr>
          <w:sz w:val="22"/>
          <w:szCs w:val="22"/>
        </w:rPr>
      </w:pPr>
      <w:r>
        <w:rPr>
          <w:sz w:val="22"/>
          <w:szCs w:val="22"/>
        </w:rPr>
        <w:t xml:space="preserve">A.2.   National strategies and plans or reports and assessments under relevant conventions, if applicable, i.e. NAPAS, NAPs, NBSAPs, national communications, TNAs, NIPs, PRSPs, NPFE, etc.:  </w:t>
      </w:r>
    </w:p>
    <w:tbl>
      <w:tblPr>
        <w:tblW w:w="9588" w:type="dxa"/>
        <w:tblInd w:w="-106" w:type="dxa"/>
        <w:tblLook w:val="00A0"/>
      </w:tblPr>
      <w:tblGrid>
        <w:gridCol w:w="9588"/>
      </w:tblGrid>
      <w:tr w:rsidR="000D5083">
        <w:tc>
          <w:tcPr>
            <w:tcW w:w="9588" w:type="dxa"/>
          </w:tcPr>
          <w:p w:rsidR="000D5083" w:rsidRDefault="000D5083">
            <w:pPr>
              <w:spacing w:after="144"/>
              <w:jc w:val="both"/>
              <w:rPr>
                <w:rFonts w:ascii="Calibri" w:hAnsi="Calibri" w:cs="Calibri"/>
                <w:sz w:val="20"/>
                <w:szCs w:val="20"/>
              </w:rPr>
            </w:pPr>
            <w:r>
              <w:rPr>
                <w:rFonts w:ascii="Calibri" w:hAnsi="Calibri" w:cs="Calibri"/>
                <w:sz w:val="20"/>
                <w:szCs w:val="20"/>
              </w:rPr>
              <w:t>The Government of Maldives is addressing the significant growth in developmental activities at regional and national level that has led to an escalation in the use of energy by decentralization (i.e.; restructuring transport networks using regional hubs rather than the capital Male’), privatization and opening of markets (particularly to energy suppliers promoting renewable energy and achieving greater energy efficiency).  The country can no longer rely entirely on imports to meet its energy demands in order to sustain socio-economic development, thus, the urgency for developing energy policies to guide the growth and manage the energy sector, ensuring efficient energy use.</w:t>
            </w:r>
          </w:p>
          <w:p w:rsidR="000D5083" w:rsidRDefault="000D5083">
            <w:pPr>
              <w:spacing w:after="144"/>
              <w:jc w:val="both"/>
              <w:rPr>
                <w:rFonts w:ascii="Calibri" w:hAnsi="Calibri" w:cs="Calibri"/>
                <w:sz w:val="20"/>
                <w:szCs w:val="20"/>
              </w:rPr>
            </w:pPr>
            <w:r>
              <w:rPr>
                <w:rFonts w:ascii="Calibri" w:hAnsi="Calibri" w:cs="Calibri"/>
                <w:sz w:val="20"/>
                <w:szCs w:val="20"/>
              </w:rPr>
              <w:t>The government has set an ambitious national goal of achieving carbon neutrality by 2020 to mitigate the use of fossil fuels by adopting renewable sources and achieving greater energy efficiency. Energy efficiency is a central component of the National Energy Policy and will help reduce, GHG emissions and energy costs, and contribute directly to energy security and affordable energy. Developing energy efficient products and services will support the growth of the energy sector and create jobs.</w:t>
            </w:r>
          </w:p>
          <w:p w:rsidR="000D5083" w:rsidRDefault="000D5083">
            <w:pPr>
              <w:jc w:val="both"/>
              <w:rPr>
                <w:rFonts w:ascii="Calibri" w:hAnsi="Calibri" w:cs="Calibri"/>
                <w:smallCaps/>
                <w:sz w:val="20"/>
                <w:szCs w:val="20"/>
                <w:u w:val="single"/>
              </w:rPr>
            </w:pPr>
            <w:r>
              <w:rPr>
                <w:rFonts w:ascii="Calibri" w:hAnsi="Calibri" w:cs="Calibri"/>
                <w:sz w:val="20"/>
                <w:szCs w:val="20"/>
              </w:rPr>
              <w:t>The Maldives was one of the first countries to sign the Kyoto Protocol and ratify it in 1998. The Maldives is also a member of the UNFCCC.</w:t>
            </w:r>
          </w:p>
          <w:p w:rsidR="000D5083" w:rsidRDefault="000D5083">
            <w:pPr>
              <w:jc w:val="both"/>
              <w:rPr>
                <w:rFonts w:ascii="Calibri" w:hAnsi="Calibri" w:cs="Calibri"/>
                <w:smallCaps/>
                <w:sz w:val="20"/>
                <w:szCs w:val="20"/>
                <w:u w:val="single"/>
              </w:rPr>
            </w:pPr>
          </w:p>
          <w:p w:rsidR="000D5083" w:rsidRDefault="000D5083">
            <w:pPr>
              <w:jc w:val="both"/>
              <w:rPr>
                <w:rFonts w:ascii="Calibri" w:hAnsi="Calibri" w:cs="Calibri"/>
                <w:sz w:val="20"/>
                <w:szCs w:val="20"/>
              </w:rPr>
            </w:pPr>
            <w:r>
              <w:rPr>
                <w:rFonts w:ascii="Calibri" w:hAnsi="Calibri" w:cs="Calibri"/>
                <w:smallCaps/>
                <w:sz w:val="20"/>
                <w:szCs w:val="20"/>
                <w:u w:val="single"/>
              </w:rPr>
              <w:t>Maldives Strategic Action Plan 2009-2013</w:t>
            </w:r>
            <w:r>
              <w:rPr>
                <w:rFonts w:ascii="Calibri" w:hAnsi="Calibri" w:cs="Calibri"/>
                <w:smallCaps/>
                <w:sz w:val="20"/>
                <w:szCs w:val="20"/>
              </w:rPr>
              <w:t xml:space="preserve"> - </w:t>
            </w:r>
            <w:r>
              <w:rPr>
                <w:rFonts w:ascii="Calibri" w:hAnsi="Calibri" w:cs="Calibri"/>
                <w:sz w:val="20"/>
                <w:szCs w:val="20"/>
              </w:rPr>
              <w:t xml:space="preserve">The Maldives Strategic Action Plan 2009-2013 states; “Being aware and concerned about environmental degradation and the effects of global warming, particularly in small island nations like the Maldives, the government deems it necessary to provide reliable, affordable and sustainable energy supply to all citizens and protect the environment and people from the hazardous effects of energy production. The government has set itself the ambitious goal of going carbon neutral in ten years and has promulgated the following policies: </w:t>
            </w:r>
          </w:p>
          <w:p w:rsidR="000D5083" w:rsidRDefault="000D5083">
            <w:pPr>
              <w:numPr>
                <w:ilvl w:val="0"/>
                <w:numId w:val="17"/>
              </w:numPr>
              <w:jc w:val="both"/>
              <w:rPr>
                <w:rFonts w:ascii="Calibri" w:hAnsi="Calibri" w:cs="Calibri"/>
                <w:sz w:val="20"/>
                <w:szCs w:val="20"/>
              </w:rPr>
            </w:pPr>
            <w:r>
              <w:rPr>
                <w:rFonts w:ascii="Calibri" w:hAnsi="Calibri" w:cs="Calibri"/>
                <w:sz w:val="20"/>
                <w:szCs w:val="20"/>
              </w:rPr>
              <w:t>Provide all citizens with access to affordable and reliable supply electricity</w:t>
            </w:r>
          </w:p>
          <w:p w:rsidR="000D5083" w:rsidRDefault="000D5083">
            <w:pPr>
              <w:numPr>
                <w:ilvl w:val="0"/>
                <w:numId w:val="17"/>
              </w:numPr>
              <w:jc w:val="both"/>
              <w:rPr>
                <w:rFonts w:ascii="Calibri" w:hAnsi="Calibri" w:cs="Calibri"/>
                <w:sz w:val="20"/>
                <w:szCs w:val="20"/>
              </w:rPr>
            </w:pPr>
            <w:r>
              <w:rPr>
                <w:rFonts w:ascii="Calibri" w:hAnsi="Calibri" w:cs="Calibri"/>
                <w:sz w:val="20"/>
                <w:szCs w:val="20"/>
              </w:rPr>
              <w:t>Achieve carbon neutrality in the energy sector by year 2020</w:t>
            </w:r>
          </w:p>
          <w:p w:rsidR="000D5083" w:rsidRDefault="000D5083">
            <w:pPr>
              <w:numPr>
                <w:ilvl w:val="0"/>
                <w:numId w:val="17"/>
              </w:numPr>
              <w:jc w:val="both"/>
              <w:rPr>
                <w:rFonts w:ascii="Calibri" w:hAnsi="Calibri" w:cs="Calibri"/>
                <w:sz w:val="20"/>
                <w:szCs w:val="20"/>
              </w:rPr>
            </w:pPr>
            <w:r>
              <w:rPr>
                <w:rFonts w:ascii="Calibri" w:hAnsi="Calibri" w:cs="Calibri"/>
                <w:sz w:val="20"/>
                <w:szCs w:val="20"/>
              </w:rPr>
              <w:t>Promote energy conservation (EC) and energy efficiency (EE)</w:t>
            </w:r>
          </w:p>
          <w:p w:rsidR="000D5083" w:rsidRDefault="000D5083">
            <w:pPr>
              <w:numPr>
                <w:ilvl w:val="0"/>
                <w:numId w:val="17"/>
              </w:numPr>
              <w:jc w:val="both"/>
              <w:rPr>
                <w:rFonts w:ascii="Calibri" w:hAnsi="Calibri" w:cs="Calibri"/>
                <w:sz w:val="20"/>
                <w:szCs w:val="20"/>
              </w:rPr>
            </w:pPr>
            <w:r>
              <w:rPr>
                <w:rFonts w:ascii="Calibri" w:hAnsi="Calibri" w:cs="Calibri"/>
                <w:sz w:val="20"/>
                <w:szCs w:val="20"/>
              </w:rPr>
              <w:t>Increase national energy security</w:t>
            </w:r>
          </w:p>
          <w:p w:rsidR="000D5083" w:rsidRDefault="000D5083">
            <w:pPr>
              <w:numPr>
                <w:ilvl w:val="0"/>
                <w:numId w:val="17"/>
              </w:numPr>
              <w:jc w:val="both"/>
              <w:rPr>
                <w:rFonts w:ascii="Calibri" w:hAnsi="Calibri" w:cs="Calibri"/>
                <w:sz w:val="20"/>
                <w:szCs w:val="20"/>
              </w:rPr>
            </w:pPr>
            <w:r>
              <w:rPr>
                <w:rFonts w:ascii="Calibri" w:hAnsi="Calibri" w:cs="Calibri"/>
                <w:sz w:val="20"/>
                <w:szCs w:val="20"/>
              </w:rPr>
              <w:t xml:space="preserve">Promote renewable energy technologies </w:t>
            </w:r>
          </w:p>
          <w:p w:rsidR="000D5083" w:rsidRDefault="000D5083">
            <w:pPr>
              <w:numPr>
                <w:ilvl w:val="0"/>
                <w:numId w:val="17"/>
              </w:numPr>
              <w:jc w:val="both"/>
              <w:rPr>
                <w:rFonts w:ascii="Calibri" w:hAnsi="Calibri" w:cs="Calibri"/>
                <w:sz w:val="20"/>
                <w:szCs w:val="20"/>
              </w:rPr>
            </w:pPr>
            <w:r>
              <w:rPr>
                <w:rFonts w:ascii="Calibri" w:hAnsi="Calibri" w:cs="Calibri"/>
                <w:sz w:val="20"/>
                <w:szCs w:val="20"/>
              </w:rPr>
              <w:t>Strengthen the management capacity of the energy sector</w:t>
            </w:r>
          </w:p>
          <w:p w:rsidR="000D5083" w:rsidRDefault="000D5083">
            <w:pPr>
              <w:numPr>
                <w:ilvl w:val="0"/>
                <w:numId w:val="17"/>
              </w:numPr>
              <w:jc w:val="both"/>
              <w:rPr>
                <w:rFonts w:ascii="Calibri" w:hAnsi="Calibri" w:cs="Calibri"/>
                <w:sz w:val="20"/>
                <w:szCs w:val="20"/>
              </w:rPr>
            </w:pPr>
            <w:r>
              <w:rPr>
                <w:rFonts w:ascii="Calibri" w:hAnsi="Calibri" w:cs="Calibri"/>
                <w:sz w:val="20"/>
                <w:szCs w:val="20"/>
              </w:rPr>
              <w:t>Adopt appropriate pricing policy for energy sector</w:t>
            </w:r>
          </w:p>
          <w:p w:rsidR="000D5083" w:rsidRDefault="000D5083">
            <w:pPr>
              <w:numPr>
                <w:ilvl w:val="0"/>
                <w:numId w:val="17"/>
              </w:numPr>
              <w:jc w:val="both"/>
              <w:rPr>
                <w:rFonts w:ascii="Calibri" w:hAnsi="Calibri" w:cs="Calibri"/>
                <w:sz w:val="20"/>
                <w:szCs w:val="20"/>
              </w:rPr>
            </w:pPr>
            <w:r>
              <w:rPr>
                <w:rFonts w:ascii="Calibri" w:hAnsi="Calibri" w:cs="Calibri"/>
                <w:sz w:val="20"/>
                <w:szCs w:val="20"/>
              </w:rPr>
              <w:t>Ensure customer protection</w:t>
            </w:r>
          </w:p>
          <w:p w:rsidR="000D5083" w:rsidRDefault="000D5083">
            <w:pPr>
              <w:numPr>
                <w:ilvl w:val="0"/>
                <w:numId w:val="17"/>
              </w:numPr>
              <w:spacing w:after="144"/>
              <w:jc w:val="both"/>
              <w:rPr>
                <w:rFonts w:ascii="Calibri" w:hAnsi="Calibri" w:cs="Calibri"/>
                <w:sz w:val="20"/>
                <w:szCs w:val="20"/>
              </w:rPr>
            </w:pPr>
            <w:r>
              <w:rPr>
                <w:rFonts w:ascii="Calibri" w:hAnsi="Calibri" w:cs="Calibri"/>
                <w:sz w:val="20"/>
                <w:szCs w:val="20"/>
              </w:rPr>
              <w:t>Enhance the quality of energy services</w:t>
            </w:r>
          </w:p>
          <w:p w:rsidR="000D5083" w:rsidRDefault="000D5083">
            <w:pPr>
              <w:spacing w:after="144"/>
              <w:jc w:val="both"/>
              <w:rPr>
                <w:rFonts w:ascii="Calibri" w:hAnsi="Calibri" w:cs="Calibri"/>
                <w:sz w:val="20"/>
                <w:szCs w:val="20"/>
              </w:rPr>
            </w:pPr>
            <w:r>
              <w:rPr>
                <w:rFonts w:ascii="Calibri" w:hAnsi="Calibri" w:cs="Calibri"/>
                <w:sz w:val="20"/>
                <w:szCs w:val="20"/>
              </w:rPr>
              <w:t>For Policy no. 3, strategies to promote energy conservation and energy efficiency  include: advocacy and awareness programs; adoption of incentives, labeling and standards, EE building codes, energy audits; private sector to provide needed specialized services for adopting EE measures; identify all opportunity areas for EE technologies and EC measures for implementation in the country</w:t>
            </w:r>
          </w:p>
          <w:p w:rsidR="000D5083" w:rsidRDefault="000D5083">
            <w:pPr>
              <w:spacing w:after="144"/>
              <w:jc w:val="both"/>
              <w:rPr>
                <w:rFonts w:ascii="Calibri" w:hAnsi="Calibri" w:cs="Calibri"/>
                <w:sz w:val="20"/>
                <w:szCs w:val="20"/>
              </w:rPr>
            </w:pPr>
            <w:r>
              <w:rPr>
                <w:rFonts w:ascii="Calibri" w:hAnsi="Calibri" w:cs="Calibri"/>
                <w:sz w:val="20"/>
                <w:szCs w:val="20"/>
              </w:rPr>
              <w:t xml:space="preserve">The Ministry of Housing and Environment (MHE), has been the leading agency involved in conducting activities for promoting EC and EE technologies. </w:t>
            </w:r>
          </w:p>
          <w:p w:rsidR="000D5083" w:rsidRDefault="000D5083">
            <w:pPr>
              <w:jc w:val="both"/>
              <w:rPr>
                <w:rFonts w:ascii="Calibri" w:hAnsi="Calibri" w:cs="Calibri"/>
                <w:color w:val="000000"/>
                <w:sz w:val="20"/>
                <w:szCs w:val="20"/>
              </w:rPr>
            </w:pPr>
            <w:r>
              <w:rPr>
                <w:rFonts w:ascii="Calibri" w:hAnsi="Calibri" w:cs="Calibri"/>
                <w:smallCaps/>
                <w:color w:val="000000"/>
                <w:sz w:val="20"/>
                <w:szCs w:val="20"/>
                <w:u w:val="single"/>
              </w:rPr>
              <w:t>2011-2015 UNDAF Action Plan</w:t>
            </w:r>
            <w:r>
              <w:rPr>
                <w:rFonts w:ascii="Calibri" w:hAnsi="Calibri" w:cs="Calibri"/>
                <w:smallCaps/>
                <w:color w:val="000000"/>
                <w:sz w:val="20"/>
                <w:szCs w:val="20"/>
              </w:rPr>
              <w:t xml:space="preserve">- </w:t>
            </w:r>
            <w:r>
              <w:rPr>
                <w:rFonts w:ascii="Calibri" w:hAnsi="Calibri" w:cs="Calibri"/>
                <w:color w:val="000000"/>
                <w:sz w:val="20"/>
                <w:szCs w:val="20"/>
              </w:rPr>
              <w:t xml:space="preserve">The 2011-2015 UNDAF Action Plan chapter on “Climate Change Adaptation and Disaster Risk Reduction (DRR)” states that the “National Development Priority: Protect and preserve the natural environment to ensure prosperous economic development and healthy communities; reduce greenhouse gas emissions and achieve carbon neutrality, promote renewable energy technology applications; build institutional framework for DRR and climate change adaptation. </w:t>
            </w:r>
          </w:p>
          <w:p w:rsidR="000D5083" w:rsidRDefault="000D5083">
            <w:pPr>
              <w:jc w:val="both"/>
            </w:pPr>
          </w:p>
        </w:tc>
      </w:tr>
    </w:tbl>
    <w:p w:rsidR="000D5083" w:rsidRDefault="000D5083">
      <w:pPr>
        <w:pStyle w:val="Footer"/>
        <w:numPr>
          <w:ilvl w:val="0"/>
          <w:numId w:val="1"/>
        </w:numPr>
        <w:tabs>
          <w:tab w:val="clear" w:pos="720"/>
          <w:tab w:val="clear" w:pos="4320"/>
          <w:tab w:val="clear" w:pos="8640"/>
        </w:tabs>
        <w:spacing w:after="80"/>
        <w:ind w:left="360"/>
        <w:rPr>
          <w:sz w:val="22"/>
          <w:szCs w:val="22"/>
        </w:rPr>
      </w:pPr>
      <w:r>
        <w:rPr>
          <w:b/>
          <w:bCs/>
          <w:smallCaps/>
          <w:sz w:val="22"/>
          <w:szCs w:val="22"/>
        </w:rPr>
        <w:t>Project Overview:</w:t>
      </w:r>
      <w:r>
        <w:rPr>
          <w:b/>
          <w:bCs/>
          <w:smallCaps/>
          <w:sz w:val="22"/>
          <w:szCs w:val="22"/>
        </w:rPr>
        <w:br/>
      </w:r>
      <w:r>
        <w:rPr>
          <w:sz w:val="22"/>
          <w:szCs w:val="22"/>
        </w:rPr>
        <w:t xml:space="preserve">B.1. Describe the baseline project and the problem that it seeks to address:  </w:t>
      </w:r>
    </w:p>
    <w:tbl>
      <w:tblPr>
        <w:tblW w:w="9588" w:type="dxa"/>
        <w:tblInd w:w="-106" w:type="dxa"/>
        <w:tblLook w:val="00A0"/>
      </w:tblPr>
      <w:tblGrid>
        <w:gridCol w:w="9588"/>
      </w:tblGrid>
      <w:tr w:rsidR="000D5083">
        <w:tc>
          <w:tcPr>
            <w:tcW w:w="9588" w:type="dxa"/>
          </w:tcPr>
          <w:p w:rsidR="000D5083" w:rsidRDefault="000D5083">
            <w:pPr>
              <w:spacing w:after="120"/>
              <w:jc w:val="both"/>
              <w:rPr>
                <w:rFonts w:ascii="Calibri" w:hAnsi="Calibri" w:cs="Calibri"/>
                <w:sz w:val="20"/>
                <w:szCs w:val="20"/>
              </w:rPr>
            </w:pPr>
            <w:r>
              <w:rPr>
                <w:rFonts w:ascii="Calibri" w:hAnsi="Calibri" w:cs="Calibri"/>
                <w:sz w:val="20"/>
                <w:szCs w:val="20"/>
              </w:rPr>
              <w:t>I.  NATIONAL ENERGY SITUATION</w:t>
            </w:r>
          </w:p>
          <w:p w:rsidR="000D5083" w:rsidRDefault="000D5083">
            <w:pPr>
              <w:spacing w:after="144"/>
              <w:jc w:val="both"/>
              <w:rPr>
                <w:rFonts w:ascii="Calibri" w:hAnsi="Calibri" w:cs="Calibri"/>
                <w:sz w:val="20"/>
                <w:szCs w:val="20"/>
              </w:rPr>
            </w:pPr>
            <w:r>
              <w:rPr>
                <w:rFonts w:ascii="Calibri" w:hAnsi="Calibri" w:cs="Calibri"/>
                <w:sz w:val="20"/>
                <w:szCs w:val="20"/>
              </w:rPr>
              <w:t xml:space="preserve">The Republic of Maldives is comprised of 1,192 small, low-lying coral islands, a chain of coral atolls stretching 860 km (north-to-south) across the Indian Ocean. The total land area is estimated at around 300 sq. km. The country enjoys a warm and tropical climate, with weather being dominated by two monsoon periods; the southwest monsoon (the wet period, from May to November); and the northeast monsoon (the dry period from January to March). Inhabited islands have a limited supply of freshwater in the ground and land for agricultural uses is usually non-existent. </w:t>
            </w:r>
          </w:p>
          <w:p w:rsidR="000D5083" w:rsidRDefault="000D5083">
            <w:pPr>
              <w:spacing w:after="144"/>
              <w:jc w:val="both"/>
              <w:rPr>
                <w:rFonts w:ascii="Calibri" w:hAnsi="Calibri" w:cs="Calibri"/>
                <w:sz w:val="20"/>
                <w:szCs w:val="20"/>
              </w:rPr>
            </w:pPr>
            <w:r>
              <w:rPr>
                <w:rFonts w:ascii="Calibri" w:hAnsi="Calibri" w:cs="Calibri"/>
                <w:sz w:val="20"/>
                <w:szCs w:val="20"/>
              </w:rPr>
              <w:t>The tourism sector makes up a third of the GDP and together with fisheries; the two sectors are the biggest contributor to export receipts and employment. Both sectors are energy intensive with the tourism sector being the single most energy intensive sector in the economy. Other sectors such as construction also rely heavily on energy. Thus, the entire economy of the country is vulnerable to external shocks caused by fluctuations in the price of fossil fuels.</w:t>
            </w:r>
          </w:p>
          <w:p w:rsidR="000D5083" w:rsidRDefault="000D5083">
            <w:pPr>
              <w:spacing w:after="144"/>
              <w:jc w:val="both"/>
              <w:rPr>
                <w:rFonts w:ascii="Calibri" w:hAnsi="Calibri" w:cs="Calibri"/>
                <w:sz w:val="20"/>
                <w:szCs w:val="20"/>
              </w:rPr>
            </w:pPr>
            <w:r>
              <w:rPr>
                <w:rFonts w:ascii="Calibri" w:hAnsi="Calibri" w:cs="Calibri"/>
                <w:sz w:val="20"/>
                <w:szCs w:val="20"/>
              </w:rPr>
              <w:t>Energy needs for the Maldives are primarily met through imported fossil fuels. Energy security is critical for the country whose 300,000 plus population resides in over 190 islands that are flung across more than 100,000 square kilometers of the Indian Ocean.</w:t>
            </w:r>
            <w:r w:rsidR="0086150B">
              <w:rPr>
                <w:rFonts w:ascii="Calibri" w:hAnsi="Calibri" w:cs="Calibri"/>
                <w:sz w:val="20"/>
                <w:szCs w:val="20"/>
              </w:rPr>
              <w:t xml:space="preserve"> </w:t>
            </w:r>
            <w:r>
              <w:rPr>
                <w:rFonts w:ascii="Calibri" w:hAnsi="Calibri" w:cs="Calibri"/>
                <w:sz w:val="20"/>
                <w:szCs w:val="20"/>
              </w:rPr>
              <w:t>The government recognizes that adequate energy supplies are important for food security, the delivery of essential public services, social equity and protection groups including women and children, governance and for economic growth throughout all of its inhabited islands and as such the government considers energy security a right of every citizen and is committed to the provision of energy resources at the lowest cost.</w:t>
            </w:r>
          </w:p>
          <w:p w:rsidR="000D5083" w:rsidRDefault="000D5083">
            <w:pPr>
              <w:spacing w:after="144"/>
              <w:jc w:val="both"/>
              <w:rPr>
                <w:rFonts w:ascii="Calibri" w:hAnsi="Calibri" w:cs="Calibri"/>
                <w:sz w:val="20"/>
                <w:szCs w:val="20"/>
              </w:rPr>
            </w:pPr>
            <w:r>
              <w:rPr>
                <w:rFonts w:ascii="Calibri" w:hAnsi="Calibri" w:cs="Calibri"/>
                <w:smallCaps/>
                <w:sz w:val="20"/>
                <w:szCs w:val="20"/>
                <w:u w:val="single"/>
              </w:rPr>
              <w:t>A. Energy Supply Situation</w:t>
            </w:r>
            <w:r>
              <w:rPr>
                <w:rFonts w:ascii="Calibri" w:hAnsi="Calibri" w:cs="Calibri"/>
                <w:smallCaps/>
                <w:sz w:val="20"/>
                <w:szCs w:val="20"/>
              </w:rPr>
              <w:t>–</w:t>
            </w:r>
            <w:r>
              <w:rPr>
                <w:rFonts w:ascii="Calibri" w:hAnsi="Calibri" w:cs="Calibri"/>
                <w:sz w:val="20"/>
                <w:szCs w:val="20"/>
              </w:rPr>
              <w:t>In 2009, diesel accounts for 82% of the total primary energy demand.  280,746 TOE of diesel was consumed in the country of which 67.7 % was utilized for electricity generation, 21% for sea transport, 8.9% by fishing boats, and 1% for land transport. The demand for diesel by the tourism sector for electricity generation, sea transport and leisure activities amounts to 36.6% of the diesel imported.</w:t>
            </w:r>
          </w:p>
          <w:p w:rsidR="000D5083" w:rsidRDefault="000D5083">
            <w:pPr>
              <w:spacing w:after="144"/>
              <w:jc w:val="both"/>
              <w:rPr>
                <w:rFonts w:ascii="Calibri" w:hAnsi="Calibri" w:cs="Calibri"/>
                <w:sz w:val="20"/>
                <w:szCs w:val="20"/>
              </w:rPr>
            </w:pPr>
            <w:r>
              <w:rPr>
                <w:rFonts w:ascii="Calibri" w:hAnsi="Calibri" w:cs="Calibri"/>
                <w:noProof/>
                <w:sz w:val="20"/>
                <w:szCs w:val="20"/>
                <w:u w:val="single"/>
              </w:rPr>
              <w:t>1. Status of the Electricity Sector</w:t>
            </w:r>
            <w:r>
              <w:rPr>
                <w:rFonts w:ascii="Calibri" w:hAnsi="Calibri" w:cs="Calibri"/>
                <w:smallCaps/>
                <w:noProof/>
                <w:sz w:val="20"/>
                <w:szCs w:val="20"/>
              </w:rPr>
              <w:t xml:space="preserve"> - </w:t>
            </w:r>
            <w:r>
              <w:rPr>
                <w:rFonts w:ascii="Calibri" w:hAnsi="Calibri" w:cs="Calibri"/>
                <w:sz w:val="20"/>
                <w:szCs w:val="20"/>
              </w:rPr>
              <w:t>The dispersed islands geography does not make viable for the country to have a national grid. Each island has to install and operate its own powerhouse to generate electricity to meet its needs albeit at considerable costs. The government has provided financial assistance to both communities and private parties that have installed these powerhouses.</w:t>
            </w:r>
          </w:p>
          <w:p w:rsidR="000D5083" w:rsidRDefault="000D5083">
            <w:pPr>
              <w:spacing w:after="144"/>
              <w:jc w:val="both"/>
              <w:rPr>
                <w:rFonts w:ascii="Calibri" w:hAnsi="Calibri" w:cs="Calibri"/>
                <w:sz w:val="20"/>
                <w:szCs w:val="20"/>
              </w:rPr>
            </w:pPr>
            <w:r>
              <w:rPr>
                <w:rFonts w:ascii="Calibri" w:hAnsi="Calibri" w:cs="Calibri"/>
                <w:sz w:val="20"/>
                <w:szCs w:val="20"/>
              </w:rPr>
              <w:t xml:space="preserve">There are now seven operating utilities providing power across the country namely, STELCO, Upper North Utilities Ltd, Northern Utilities Ltd, Central Utilities Ltd, Central Utilities Ltd, Upper South Utilities Ltd and Southern Utilities Ltd. The total installed power capacity of these seven utilities is 106.2 MW. STELCO has an installed capacity of 61.98 MW, with 49.6MW installed in the capital city Malé alone. STELCO operates 10 power plants in Maldives which run on diesel. Apart from these power plants, as Maldives is not completely connected by a  grid system, many residents, industries and tourist resorts operate their own diesel generator sets. Resort islands operate their own captive systems. The IDCs, with financial assistance from Ministry of Atolls Administration (MAA) (in the form of capital and operating subsidies) have setup and operate power generation sets around the islands of country. These are currently in the process of being integrated into the seven utilities. </w:t>
            </w:r>
          </w:p>
          <w:p w:rsidR="000D5083" w:rsidRDefault="000D5083">
            <w:pPr>
              <w:jc w:val="both"/>
              <w:rPr>
                <w:rFonts w:ascii="Calibri" w:hAnsi="Calibri" w:cs="Calibri"/>
                <w:sz w:val="20"/>
                <w:szCs w:val="20"/>
              </w:rPr>
            </w:pPr>
            <w:r>
              <w:rPr>
                <w:rFonts w:ascii="Calibri" w:hAnsi="Calibri" w:cs="Calibri"/>
                <w:sz w:val="20"/>
                <w:szCs w:val="20"/>
              </w:rPr>
              <w:t>The country is faced with several constraints in its efforts to achieve the goal of achieving carbon neutrality by 2020, particularly in the energy sector as follows:</w:t>
            </w:r>
          </w:p>
          <w:p w:rsidR="000D5083" w:rsidRDefault="000D5083">
            <w:pPr>
              <w:numPr>
                <w:ilvl w:val="0"/>
                <w:numId w:val="5"/>
              </w:numPr>
              <w:jc w:val="both"/>
              <w:outlineLvl w:val="0"/>
              <w:rPr>
                <w:rFonts w:ascii="Calibri" w:hAnsi="Calibri" w:cs="Calibri"/>
                <w:sz w:val="20"/>
                <w:szCs w:val="20"/>
              </w:rPr>
            </w:pPr>
            <w:r>
              <w:rPr>
                <w:rFonts w:ascii="Calibri" w:hAnsi="Calibri" w:cs="Calibri"/>
                <w:sz w:val="20"/>
                <w:szCs w:val="20"/>
              </w:rPr>
              <w:t>Island power systems are unprofessionally developed, hence systems are unreliable, and have low efficiency and poor quality, and have high maintenance and operational costs.</w:t>
            </w:r>
            <w:r>
              <w:rPr>
                <w:rFonts w:ascii="Calibri" w:hAnsi="Calibri" w:cs="Calibri"/>
                <w:noProof/>
                <w:sz w:val="20"/>
                <w:szCs w:val="20"/>
              </w:rPr>
              <w:t xml:space="preserve"> It is not uncommon to find islands that have frequent power outages or are unable to provide 24 hours of electricity either due to mechanical failures or the price and availability of fuel supplies.</w:t>
            </w:r>
          </w:p>
          <w:p w:rsidR="000D5083" w:rsidRDefault="000D5083">
            <w:pPr>
              <w:numPr>
                <w:ilvl w:val="0"/>
                <w:numId w:val="5"/>
              </w:numPr>
              <w:jc w:val="both"/>
              <w:outlineLvl w:val="0"/>
              <w:rPr>
                <w:rFonts w:ascii="Calibri" w:hAnsi="Calibri" w:cs="Calibri"/>
                <w:sz w:val="20"/>
                <w:szCs w:val="20"/>
              </w:rPr>
            </w:pPr>
            <w:r>
              <w:rPr>
                <w:rFonts w:ascii="Calibri" w:hAnsi="Calibri" w:cs="Calibri"/>
                <w:sz w:val="20"/>
                <w:szCs w:val="20"/>
              </w:rPr>
              <w:t>In most islands the powerhouse is situated just few meters away from residential areas causing discomfort and exposing the island communities to major health risks.</w:t>
            </w:r>
          </w:p>
          <w:p w:rsidR="000D5083" w:rsidRDefault="000D5083">
            <w:pPr>
              <w:numPr>
                <w:ilvl w:val="0"/>
                <w:numId w:val="5"/>
              </w:numPr>
              <w:jc w:val="both"/>
              <w:outlineLvl w:val="0"/>
              <w:rPr>
                <w:rFonts w:ascii="Calibri" w:hAnsi="Calibri" w:cs="Calibri"/>
                <w:sz w:val="20"/>
                <w:szCs w:val="20"/>
              </w:rPr>
            </w:pPr>
            <w:r>
              <w:rPr>
                <w:rFonts w:ascii="Calibri" w:hAnsi="Calibri" w:cs="Calibri"/>
                <w:sz w:val="20"/>
                <w:szCs w:val="20"/>
              </w:rPr>
              <w:t>Weak power system management skills, coupled with lack of specialized utility financial managers and skilled engineers required for planning, design, construction supervision, operation and maintenance have been one of the major obstacles to developing sustainable power supply systems in the islands.</w:t>
            </w:r>
            <w:r>
              <w:rPr>
                <w:rFonts w:ascii="Calibri" w:hAnsi="Calibri" w:cs="Calibri"/>
                <w:noProof/>
                <w:sz w:val="20"/>
                <w:szCs w:val="20"/>
              </w:rPr>
              <w:t xml:space="preserve"> Reliability is further impeded by this lack of technically skilled personnel for maintenance, operation and management.</w:t>
            </w:r>
          </w:p>
          <w:p w:rsidR="000D5083" w:rsidRDefault="000D5083">
            <w:pPr>
              <w:numPr>
                <w:ilvl w:val="0"/>
                <w:numId w:val="5"/>
              </w:numPr>
              <w:jc w:val="both"/>
              <w:outlineLvl w:val="0"/>
              <w:rPr>
                <w:rFonts w:ascii="Calibri" w:hAnsi="Calibri" w:cs="Calibri"/>
                <w:sz w:val="20"/>
                <w:szCs w:val="20"/>
              </w:rPr>
            </w:pPr>
            <w:r>
              <w:rPr>
                <w:rFonts w:ascii="Calibri" w:hAnsi="Calibri" w:cs="Calibri"/>
                <w:sz w:val="20"/>
                <w:szCs w:val="20"/>
              </w:rPr>
              <w:t>The energy regulator, Maldives Energy Authority (MEA) is understaffed. The existing regulatory framework requires improvements and need to include the RE sector. Specific regulation for governing areas such as independent power generation, and the pricing and use of RE technologies (RETs) are not currently in place.</w:t>
            </w:r>
            <w:r>
              <w:rPr>
                <w:rFonts w:ascii="Calibri" w:hAnsi="Calibri" w:cs="Calibri"/>
                <w:noProof/>
                <w:sz w:val="20"/>
                <w:szCs w:val="20"/>
              </w:rPr>
              <w:t xml:space="preserve"> The lack of regulation or national standards has resulted in the development of weak individual island grids that are unsustainable and unreliable.</w:t>
            </w:r>
          </w:p>
          <w:p w:rsidR="000D5083" w:rsidRDefault="000D5083">
            <w:pPr>
              <w:numPr>
                <w:ilvl w:val="0"/>
                <w:numId w:val="5"/>
              </w:numPr>
              <w:spacing w:after="144"/>
              <w:jc w:val="both"/>
              <w:outlineLvl w:val="0"/>
              <w:rPr>
                <w:rFonts w:ascii="Calibri" w:hAnsi="Calibri" w:cs="Calibri"/>
                <w:sz w:val="20"/>
                <w:szCs w:val="20"/>
              </w:rPr>
            </w:pPr>
            <w:r>
              <w:rPr>
                <w:rFonts w:ascii="Calibri" w:hAnsi="Calibri" w:cs="Calibri"/>
                <w:noProof/>
                <w:sz w:val="20"/>
                <w:szCs w:val="20"/>
              </w:rPr>
              <w:t>The conversion efficiency of diesel to electricity varies from 26-39% and distribution losses throughout the country vary from 5-24% depending on the quality and design of the distribution system on any given island. These variances demonstrate that improvement of EE coupled with the application of RE technologies is essential in the pursuit to achieve net zero carbon emissions.</w:t>
            </w:r>
          </w:p>
          <w:p w:rsidR="000D5083" w:rsidRDefault="000D5083">
            <w:pPr>
              <w:spacing w:after="144"/>
              <w:jc w:val="both"/>
              <w:rPr>
                <w:rFonts w:ascii="Calibri" w:hAnsi="Calibri" w:cs="Calibri"/>
                <w:noProof/>
                <w:sz w:val="20"/>
                <w:szCs w:val="20"/>
                <w:u w:val="single"/>
              </w:rPr>
            </w:pPr>
            <w:r>
              <w:rPr>
                <w:rFonts w:ascii="Calibri" w:hAnsi="Calibri" w:cs="Calibri"/>
                <w:sz w:val="20"/>
                <w:szCs w:val="20"/>
                <w:u w:val="single"/>
              </w:rPr>
              <w:t>2. Status of Renewable Energy Development</w:t>
            </w:r>
            <w:r>
              <w:rPr>
                <w:rFonts w:ascii="Calibri" w:hAnsi="Calibri" w:cs="Calibri"/>
                <w:smallCaps/>
                <w:sz w:val="20"/>
                <w:szCs w:val="20"/>
              </w:rPr>
              <w:t xml:space="preserve"> - </w:t>
            </w:r>
            <w:r>
              <w:rPr>
                <w:rFonts w:ascii="Calibri" w:hAnsi="Calibri" w:cs="Calibri"/>
                <w:sz w:val="20"/>
                <w:szCs w:val="20"/>
              </w:rPr>
              <w:t>Renewable energy use is minimal beyond solar water heating in resort islands. A handful of renewable energy power pilot projects have been implemented in the country. These have helped the country in identifying particularly the barriers in the utilization and application of RE technologies such as lack of awareness, weak capacity and access to financing. In the effort to move towards the carbon neutrality goal, 395kW</w:t>
            </w:r>
            <w:r>
              <w:rPr>
                <w:rFonts w:ascii="Calibri" w:hAnsi="Calibri" w:cs="Calibri"/>
                <w:sz w:val="20"/>
                <w:szCs w:val="20"/>
                <w:vertAlign w:val="subscript"/>
              </w:rPr>
              <w:t>p</w:t>
            </w:r>
            <w:r>
              <w:rPr>
                <w:rFonts w:ascii="Calibri" w:hAnsi="Calibri" w:cs="Calibri"/>
                <w:sz w:val="20"/>
                <w:szCs w:val="20"/>
              </w:rPr>
              <w:t xml:space="preserve"> rooftop PV panels (embedded PV systems) are being installed and will be completed by 2012. Under CCTF, one island in the south is planned to be carbon neutral by implementing RE and EE technologies. Most significantly, </w:t>
            </w:r>
            <w:r>
              <w:rPr>
                <w:rFonts w:ascii="Calibri" w:hAnsi="Calibri" w:cs="Calibri"/>
                <w:noProof/>
                <w:sz w:val="20"/>
                <w:szCs w:val="20"/>
              </w:rPr>
              <w:t xml:space="preserve">Maldives has secured funding for promoting and upscaling of RE in the country from CIF through SREP. SREP or “Scaling-Up of Renewable Energy Program” will be implemented through ADB. </w:t>
            </w:r>
          </w:p>
          <w:p w:rsidR="000D5083" w:rsidRDefault="000D5083">
            <w:pPr>
              <w:spacing w:after="144"/>
              <w:jc w:val="both"/>
              <w:rPr>
                <w:rFonts w:ascii="Calibri" w:hAnsi="Calibri" w:cs="Calibri"/>
                <w:noProof/>
                <w:sz w:val="20"/>
                <w:szCs w:val="20"/>
              </w:rPr>
            </w:pPr>
            <w:r>
              <w:rPr>
                <w:rFonts w:ascii="Calibri" w:hAnsi="Calibri" w:cs="Calibri"/>
                <w:smallCaps/>
                <w:noProof/>
                <w:sz w:val="20"/>
                <w:szCs w:val="20"/>
                <w:u w:val="single"/>
              </w:rPr>
              <w:t>B. Energy Use Situation and Energy Demand Projection</w:t>
            </w:r>
            <w:r>
              <w:rPr>
                <w:rFonts w:ascii="Calibri" w:hAnsi="Calibri" w:cs="Calibri"/>
                <w:smallCaps/>
                <w:noProof/>
                <w:sz w:val="20"/>
                <w:szCs w:val="20"/>
              </w:rPr>
              <w:t xml:space="preserve"> - </w:t>
            </w:r>
            <w:r>
              <w:rPr>
                <w:rFonts w:ascii="Calibri" w:hAnsi="Calibri" w:cs="Calibri"/>
                <w:noProof/>
                <w:sz w:val="20"/>
                <w:szCs w:val="20"/>
              </w:rPr>
              <w:t>National energy consumption in the Maldives increased from 223,970 tons of oil equivalent (TOE) in 2002 to 340, 311 TOE in 2009 (52% inrease) due to a rise in the demand for electricity and transportation. Electricity generation is the largest consumer of imported fossil fuels. The growing demand for energy consumption is attributed to the rising number of modern high rise buildings with increase use of air conditioning, and the increase in the number of vessels and vehicles for transportation. The major energy consuming sectors of the economy are tourism, buildings (government and residential), transport and industry (see figure below). All these sectors are growing and as such, their energy consumption. Promoting energy efficiency has large potential for reducing electricity consumption. They include both demand side management and efficient supply conversion strategies.</w:t>
            </w:r>
          </w:p>
          <w:p w:rsidR="000D5083" w:rsidRDefault="00BB0DC9">
            <w:pPr>
              <w:spacing w:after="144"/>
              <w:jc w:val="center"/>
              <w:rPr>
                <w:rFonts w:ascii="Calibri" w:hAnsi="Calibri" w:cs="Calibri"/>
                <w:noProof/>
                <w:sz w:val="20"/>
                <w:szCs w:val="20"/>
              </w:rPr>
            </w:pPr>
            <w:r>
              <w:rPr>
                <w:rFonts w:ascii="Calibri" w:hAnsi="Calibri" w:cs="Calibri"/>
                <w:noProof/>
                <w:sz w:val="20"/>
                <w:szCs w:val="20"/>
              </w:rPr>
              <w:drawing>
                <wp:inline distT="0" distB="0" distL="0" distR="0">
                  <wp:extent cx="4211955" cy="2512695"/>
                  <wp:effectExtent l="0" t="0" r="0" b="190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11955" cy="2512695"/>
                          </a:xfrm>
                          <a:prstGeom prst="rect">
                            <a:avLst/>
                          </a:prstGeom>
                          <a:noFill/>
                          <a:ln>
                            <a:noFill/>
                          </a:ln>
                        </pic:spPr>
                      </pic:pic>
                    </a:graphicData>
                  </a:graphic>
                </wp:inline>
              </w:drawing>
            </w:r>
          </w:p>
          <w:p w:rsidR="000D5083" w:rsidRDefault="000D5083">
            <w:pPr>
              <w:spacing w:after="144"/>
              <w:jc w:val="both"/>
              <w:rPr>
                <w:rFonts w:ascii="Calibri" w:hAnsi="Calibri" w:cs="Calibri"/>
                <w:noProof/>
                <w:sz w:val="20"/>
                <w:szCs w:val="20"/>
              </w:rPr>
            </w:pPr>
            <w:r>
              <w:rPr>
                <w:rFonts w:ascii="Calibri" w:hAnsi="Calibri" w:cs="Calibri"/>
                <w:noProof/>
                <w:sz w:val="20"/>
                <w:szCs w:val="20"/>
                <w:u w:val="single"/>
              </w:rPr>
              <w:t>1. Access to Electricity</w:t>
            </w:r>
            <w:r>
              <w:rPr>
                <w:rFonts w:ascii="Calibri" w:hAnsi="Calibri" w:cs="Calibri"/>
                <w:noProof/>
                <w:sz w:val="20"/>
                <w:szCs w:val="20"/>
              </w:rPr>
              <w:t xml:space="preserve">  - Access to electricity rose from two-thirds to 100% within the last decade. Energy demand is expected to continue to grow at more than 8.5% per annum. In 2009, average electricity consumption in the inhabited islands was 400 kilowatt-hour (kWh)/inhabitant (excluding resorts). In the Male</w:t>
            </w:r>
            <w:r>
              <w:rPr>
                <w:rFonts w:ascii="MS Gothic" w:eastAsia="MS Gothic" w:hAnsi="MS Gothic" w:cs="MS Gothic" w:hint="eastAsia"/>
                <w:noProof/>
                <w:sz w:val="20"/>
                <w:szCs w:val="20"/>
              </w:rPr>
              <w:t>‟</w:t>
            </w:r>
            <w:r>
              <w:rPr>
                <w:rFonts w:ascii="Calibri" w:hAnsi="Calibri" w:cs="Calibri"/>
                <w:noProof/>
                <w:sz w:val="20"/>
                <w:szCs w:val="20"/>
              </w:rPr>
              <w:t xml:space="preserve"> region, it was 1,678 kWh/inhabitant. Per capita electricity consumption is relatively uniform except in a few islands due to high industrial activity, higher living standard and economic activity, and higher housing energy consumption in islands affected by the 2004 tsunami. These high energy consuming islands include Male’ Greater Area, Vaikaradhoo, Kudarikilu, Himmafushi, and Vilufushi. In the Male’region, which accounts for approximately 62 percent of total power generated for all the inhabited islands of the country, household consume approximately the same amount of electricity as public, government, manufacturing and commerce sectors combined and 75% of the household electricity usage is attributed to air-conditioning of homes.However, tourist resorts have the highest electricity consumption (at 42% in 2009). </w:t>
            </w:r>
          </w:p>
          <w:p w:rsidR="000D5083" w:rsidRDefault="000D5083">
            <w:pPr>
              <w:spacing w:after="144"/>
              <w:jc w:val="both"/>
              <w:rPr>
                <w:rFonts w:ascii="Calibri" w:hAnsi="Calibri" w:cs="Calibri"/>
                <w:sz w:val="20"/>
                <w:szCs w:val="20"/>
              </w:rPr>
            </w:pPr>
            <w:r>
              <w:rPr>
                <w:rFonts w:ascii="Calibri" w:hAnsi="Calibri" w:cs="Calibri"/>
                <w:sz w:val="20"/>
                <w:szCs w:val="20"/>
                <w:u w:val="single"/>
              </w:rPr>
              <w:t>2. Energy Use in Households and Public Buildings</w:t>
            </w:r>
            <w:r>
              <w:rPr>
                <w:rFonts w:ascii="Calibri" w:hAnsi="Calibri" w:cs="Calibri"/>
                <w:smallCaps/>
                <w:sz w:val="20"/>
                <w:szCs w:val="20"/>
              </w:rPr>
              <w:t xml:space="preserve"> - </w:t>
            </w:r>
            <w:r>
              <w:rPr>
                <w:rFonts w:ascii="Calibri" w:hAnsi="Calibri" w:cs="Calibri"/>
                <w:sz w:val="20"/>
                <w:szCs w:val="20"/>
              </w:rPr>
              <w:t>The major uses of electricity in households and public buildings are for appliances like air conditioners, refrigerators, pumps, lighting fixtures etc. A lot of energy can be saved if programs like “Standards and Labeling” for such appliances and mandate the imports of only more energy efficient equipment are implemented. The equipment currently being imported by these sectors is not energy efficient (equivalent to 1 or 2 star rating out of a best possible 5 star rating for equipment available in the region). This clearly shows the significant potential of energy savings if appliances having more energy efficiency are imported. Also, if such appliances with better energy efficiency are easily available and the differences in capital cost can be easily recovered over the life cycle of the equipment. Government can also encourage the replacement of such old inefficient appliances with the new energy efficient ones through policy measures. MHE has done indicative analysis of energy savings possibility if all the existing inefficient air conditioners, refrigerators and water pumps are replaced with higher efficiency ones (efficiency of 4/5 star category available in the region). The estimated energy saving potential is as:</w:t>
            </w:r>
          </w:p>
          <w:tbl>
            <w:tblPr>
              <w:tblW w:w="491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65"/>
              <w:gridCol w:w="3065"/>
              <w:gridCol w:w="3067"/>
            </w:tblGrid>
            <w:tr w:rsidR="000D5083">
              <w:trPr>
                <w:jc w:val="center"/>
              </w:trPr>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b/>
                      <w:bCs/>
                      <w:sz w:val="16"/>
                      <w:szCs w:val="16"/>
                    </w:rPr>
                  </w:pPr>
                  <w:r>
                    <w:rPr>
                      <w:rFonts w:ascii="Calibri" w:hAnsi="Calibri" w:cs="Calibri"/>
                      <w:b/>
                      <w:bCs/>
                      <w:sz w:val="16"/>
                      <w:szCs w:val="16"/>
                    </w:rPr>
                    <w:t>Equipment/ Appliances in Buildings</w:t>
                  </w:r>
                </w:p>
              </w:tc>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b/>
                      <w:bCs/>
                      <w:sz w:val="16"/>
                      <w:szCs w:val="16"/>
                    </w:rPr>
                  </w:pPr>
                  <w:r>
                    <w:rPr>
                      <w:rFonts w:ascii="Calibri" w:hAnsi="Calibri" w:cs="Calibri"/>
                      <w:b/>
                      <w:bCs/>
                      <w:sz w:val="16"/>
                      <w:szCs w:val="16"/>
                    </w:rPr>
                    <w:t>Energy Savings potential/year (million kWh)</w:t>
                  </w:r>
                </w:p>
              </w:tc>
              <w:tc>
                <w:tcPr>
                  <w:tcW w:w="1667"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b/>
                      <w:bCs/>
                      <w:sz w:val="16"/>
                      <w:szCs w:val="16"/>
                    </w:rPr>
                  </w:pPr>
                  <w:r>
                    <w:rPr>
                      <w:rFonts w:ascii="Calibri" w:hAnsi="Calibri" w:cs="Calibri"/>
                      <w:b/>
                      <w:bCs/>
                      <w:sz w:val="16"/>
                      <w:szCs w:val="16"/>
                    </w:rPr>
                    <w:t>Capacity Avoided</w:t>
                  </w:r>
                </w:p>
                <w:p w:rsidR="000D5083" w:rsidRDefault="000D5083">
                  <w:pPr>
                    <w:jc w:val="center"/>
                    <w:rPr>
                      <w:rFonts w:ascii="Calibri" w:hAnsi="Calibri" w:cs="Calibri"/>
                      <w:b/>
                      <w:bCs/>
                      <w:sz w:val="16"/>
                      <w:szCs w:val="16"/>
                    </w:rPr>
                  </w:pPr>
                  <w:r>
                    <w:rPr>
                      <w:rFonts w:ascii="Calibri" w:hAnsi="Calibri" w:cs="Calibri"/>
                      <w:b/>
                      <w:bCs/>
                      <w:sz w:val="16"/>
                      <w:szCs w:val="16"/>
                    </w:rPr>
                    <w:t>(MW)</w:t>
                  </w:r>
                </w:p>
              </w:tc>
            </w:tr>
            <w:tr w:rsidR="000D5083">
              <w:trPr>
                <w:jc w:val="center"/>
              </w:trPr>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Air Conditioners</w:t>
                  </w:r>
                </w:p>
              </w:tc>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29.40</w:t>
                  </w:r>
                </w:p>
              </w:tc>
              <w:tc>
                <w:tcPr>
                  <w:tcW w:w="1667"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3.36</w:t>
                  </w:r>
                </w:p>
              </w:tc>
            </w:tr>
            <w:tr w:rsidR="000D5083">
              <w:trPr>
                <w:jc w:val="center"/>
              </w:trPr>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Refrigerators</w:t>
                  </w:r>
                </w:p>
              </w:tc>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25.15</w:t>
                  </w:r>
                </w:p>
              </w:tc>
              <w:tc>
                <w:tcPr>
                  <w:tcW w:w="1667"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2.87</w:t>
                  </w:r>
                </w:p>
              </w:tc>
            </w:tr>
            <w:tr w:rsidR="000D5083">
              <w:trPr>
                <w:jc w:val="center"/>
              </w:trPr>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Water Pumps</w:t>
                  </w:r>
                </w:p>
              </w:tc>
              <w:tc>
                <w:tcPr>
                  <w:tcW w:w="1666"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86.11</w:t>
                  </w:r>
                </w:p>
              </w:tc>
              <w:tc>
                <w:tcPr>
                  <w:tcW w:w="1667" w:type="pct"/>
                  <w:tcBorders>
                    <w:top w:val="single" w:sz="4" w:space="0" w:color="000000"/>
                    <w:left w:val="single" w:sz="4" w:space="0" w:color="000000"/>
                    <w:bottom w:val="single" w:sz="4" w:space="0" w:color="000000"/>
                    <w:right w:val="single" w:sz="4" w:space="0" w:color="000000"/>
                  </w:tcBorders>
                </w:tcPr>
                <w:p w:rsidR="000D5083" w:rsidRDefault="000D5083">
                  <w:pPr>
                    <w:jc w:val="center"/>
                    <w:rPr>
                      <w:rFonts w:ascii="Calibri" w:hAnsi="Calibri" w:cs="Calibri"/>
                      <w:sz w:val="16"/>
                      <w:szCs w:val="16"/>
                    </w:rPr>
                  </w:pPr>
                  <w:r>
                    <w:rPr>
                      <w:rFonts w:ascii="Calibri" w:hAnsi="Calibri" w:cs="Calibri"/>
                      <w:sz w:val="16"/>
                      <w:szCs w:val="16"/>
                    </w:rPr>
                    <w:t>9.83</w:t>
                  </w:r>
                </w:p>
              </w:tc>
            </w:tr>
          </w:tbl>
          <w:p w:rsidR="000D5083" w:rsidRDefault="000D5083">
            <w:pPr>
              <w:spacing w:before="144" w:after="144"/>
              <w:jc w:val="both"/>
              <w:rPr>
                <w:rFonts w:ascii="Calibri" w:hAnsi="Calibri" w:cs="Calibri"/>
                <w:sz w:val="20"/>
                <w:szCs w:val="20"/>
              </w:rPr>
            </w:pPr>
            <w:r>
              <w:rPr>
                <w:rFonts w:ascii="Calibri" w:hAnsi="Calibri" w:cs="Calibri"/>
                <w:sz w:val="20"/>
                <w:szCs w:val="20"/>
                <w:u w:val="single"/>
              </w:rPr>
              <w:t>2.  Energy Use in the Tourism Sector</w:t>
            </w:r>
            <w:r>
              <w:rPr>
                <w:rFonts w:ascii="Calibri" w:hAnsi="Calibri" w:cs="Calibri"/>
                <w:smallCaps/>
                <w:sz w:val="20"/>
                <w:szCs w:val="20"/>
              </w:rPr>
              <w:t xml:space="preserve"> - </w:t>
            </w:r>
            <w:r>
              <w:rPr>
                <w:rFonts w:ascii="Calibri" w:hAnsi="Calibri" w:cs="Calibri"/>
                <w:sz w:val="20"/>
                <w:szCs w:val="20"/>
              </w:rPr>
              <w:t xml:space="preserve">Tourism is Maldives’s main economic activity and accounts for a substantial portion of GDP. To support tourism, nearly 100 islands are fully dedicated to resorts and are solely used for tourism purposes. Resorts consume a significant amount of energy to fulfill their clients’ requirements and provide high levels of comfort. Air cooling, water desalination, electricity, laundry are the major contributors to energy demand in resorts through the use of diesel generators. The average diesel consumption per bed in resort is 4,460 kg of diesel/bed/year. </w:t>
            </w:r>
          </w:p>
          <w:p w:rsidR="000D5083" w:rsidRDefault="000D5083">
            <w:pPr>
              <w:spacing w:after="148"/>
              <w:jc w:val="both"/>
              <w:rPr>
                <w:rFonts w:ascii="Calibri" w:hAnsi="Calibri" w:cs="Calibri"/>
                <w:sz w:val="20"/>
                <w:szCs w:val="20"/>
              </w:rPr>
            </w:pPr>
            <w:r>
              <w:rPr>
                <w:rFonts w:ascii="Calibri" w:hAnsi="Calibri" w:cs="Calibri"/>
                <w:sz w:val="20"/>
                <w:szCs w:val="20"/>
              </w:rPr>
              <w:t xml:space="preserve">There are currently 97 resorts registered and all have private electricity production. Theirtotal energy consumption in 2009 was 91,226 TOE. This included all energy uses except cooking which used 48 TOE in the same year. The breakdown of electricity consumption in resorts as follows: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67"/>
              <w:gridCol w:w="2073"/>
            </w:tblGrid>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b/>
                      <w:bCs/>
                      <w:sz w:val="16"/>
                      <w:szCs w:val="16"/>
                    </w:rPr>
                  </w:pPr>
                  <w:r>
                    <w:rPr>
                      <w:rFonts w:ascii="Calibri" w:hAnsi="Calibri" w:cs="Calibri"/>
                      <w:b/>
                      <w:bCs/>
                      <w:sz w:val="16"/>
                      <w:szCs w:val="16"/>
                    </w:rPr>
                    <w:t>Energy Use in Tourism Sector</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b/>
                      <w:bCs/>
                      <w:sz w:val="16"/>
                      <w:szCs w:val="16"/>
                    </w:rPr>
                  </w:pPr>
                  <w:r>
                    <w:rPr>
                      <w:rFonts w:ascii="Calibri" w:hAnsi="Calibri" w:cs="Calibri"/>
                      <w:b/>
                      <w:bCs/>
                      <w:sz w:val="16"/>
                      <w:szCs w:val="16"/>
                    </w:rPr>
                    <w:t>% (Estimated)</w:t>
                  </w:r>
                </w:p>
              </w:tc>
            </w:tr>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Air conditioning</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40</w:t>
                  </w:r>
                </w:p>
              </w:tc>
            </w:tr>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Freezing</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10</w:t>
                  </w:r>
                </w:p>
              </w:tc>
            </w:tr>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Desalination</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10</w:t>
                  </w:r>
                </w:p>
              </w:tc>
            </w:tr>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Lighting</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10</w:t>
                  </w:r>
                </w:p>
              </w:tc>
            </w:tr>
            <w:tr w:rsidR="000D5083">
              <w:tc>
                <w:tcPr>
                  <w:tcW w:w="2967"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Laundry</w:t>
                  </w:r>
                </w:p>
              </w:tc>
              <w:tc>
                <w:tcPr>
                  <w:tcW w:w="2073" w:type="dxa"/>
                  <w:tcBorders>
                    <w:top w:val="single" w:sz="4" w:space="0" w:color="auto"/>
                    <w:left w:val="single" w:sz="4" w:space="0" w:color="auto"/>
                    <w:bottom w:val="single" w:sz="4" w:space="0" w:color="auto"/>
                    <w:right w:val="single" w:sz="4" w:space="0" w:color="auto"/>
                  </w:tcBorders>
                  <w:vAlign w:val="center"/>
                </w:tcPr>
                <w:p w:rsidR="000D5083" w:rsidRDefault="000D5083">
                  <w:pPr>
                    <w:jc w:val="center"/>
                    <w:rPr>
                      <w:rFonts w:ascii="Calibri" w:hAnsi="Calibri" w:cs="Calibri"/>
                      <w:sz w:val="16"/>
                      <w:szCs w:val="16"/>
                    </w:rPr>
                  </w:pPr>
                  <w:r>
                    <w:rPr>
                      <w:rFonts w:ascii="Calibri" w:hAnsi="Calibri" w:cs="Calibri"/>
                      <w:sz w:val="16"/>
                      <w:szCs w:val="16"/>
                    </w:rPr>
                    <w:t>5-20</w:t>
                  </w:r>
                </w:p>
              </w:tc>
            </w:tr>
          </w:tbl>
          <w:p w:rsidR="000D5083" w:rsidRDefault="000D5083">
            <w:pPr>
              <w:jc w:val="both"/>
              <w:rPr>
                <w:rFonts w:ascii="Calibri" w:hAnsi="Calibri" w:cs="Calibri"/>
                <w:smallCaps/>
                <w:sz w:val="20"/>
                <w:szCs w:val="20"/>
                <w:u w:val="single"/>
              </w:rPr>
            </w:pPr>
          </w:p>
          <w:p w:rsidR="000D5083" w:rsidRDefault="000D5083">
            <w:pPr>
              <w:spacing w:after="144"/>
              <w:jc w:val="both"/>
              <w:rPr>
                <w:rFonts w:ascii="Calibri" w:hAnsi="Calibri" w:cs="Calibri"/>
                <w:sz w:val="20"/>
                <w:szCs w:val="20"/>
              </w:rPr>
            </w:pPr>
            <w:r>
              <w:rPr>
                <w:rFonts w:ascii="Calibri" w:hAnsi="Calibri" w:cs="Calibri"/>
                <w:sz w:val="20"/>
                <w:szCs w:val="20"/>
                <w:u w:val="single"/>
              </w:rPr>
              <w:t>3.  Energy Use for Desalination and Industries</w:t>
            </w:r>
            <w:r>
              <w:rPr>
                <w:rFonts w:ascii="Calibri" w:hAnsi="Calibri" w:cs="Calibri"/>
                <w:smallCaps/>
                <w:sz w:val="20"/>
                <w:szCs w:val="20"/>
              </w:rPr>
              <w:t xml:space="preserve"> - </w:t>
            </w:r>
            <w:r>
              <w:rPr>
                <w:rFonts w:ascii="Calibri" w:hAnsi="Calibri" w:cs="Calibri"/>
                <w:sz w:val="20"/>
                <w:szCs w:val="20"/>
              </w:rPr>
              <w:t>Almost all the desalination plants being operated in Maldives run on diesel generators. Apart from desalination, there are additional industrial activities in connection to freezing/cooling and storage facilities for fish products. The energy consumption by this sector was around 1,745 TOE in the year 2009 (source: UNDP report). No data is available with regard to this sector for the type of loads and equipment in these industries to estimate the energy conservation potential.</w:t>
            </w:r>
          </w:p>
          <w:p w:rsidR="00544AB0" w:rsidRDefault="000D5083">
            <w:pPr>
              <w:spacing w:before="144" w:after="144"/>
              <w:jc w:val="both"/>
              <w:rPr>
                <w:rFonts w:ascii="Calibri" w:hAnsi="Calibri" w:cs="Calibri"/>
                <w:sz w:val="20"/>
                <w:szCs w:val="20"/>
              </w:rPr>
            </w:pPr>
            <w:r>
              <w:rPr>
                <w:rFonts w:ascii="Calibri" w:hAnsi="Calibri" w:cs="Calibri"/>
                <w:smallCaps/>
                <w:sz w:val="20"/>
                <w:szCs w:val="20"/>
                <w:u w:val="single"/>
              </w:rPr>
              <w:t>C.  GHG Emissions from Energy Production and Use</w:t>
            </w:r>
            <w:r>
              <w:rPr>
                <w:rFonts w:ascii="Calibri" w:hAnsi="Calibri" w:cs="Calibri"/>
                <w:smallCaps/>
                <w:sz w:val="20"/>
                <w:szCs w:val="20"/>
              </w:rPr>
              <w:t>–</w:t>
            </w:r>
            <w:r w:rsidR="00544AB0">
              <w:rPr>
                <w:rFonts w:ascii="Calibri" w:hAnsi="Calibri" w:cs="Calibri"/>
                <w:smallCaps/>
                <w:sz w:val="20"/>
                <w:szCs w:val="20"/>
              </w:rPr>
              <w:t xml:space="preserve"> </w:t>
            </w:r>
            <w:r>
              <w:rPr>
                <w:rFonts w:ascii="Calibri" w:hAnsi="Calibri" w:cs="Calibri"/>
                <w:sz w:val="20"/>
                <w:szCs w:val="20"/>
              </w:rPr>
              <w:t>In 2009, the estimated GHG emissions for the Maldives was 1.33 Million tons of CO2-equivalent. Energy consumption accounted for nearly 1.07 Million tons of CO2-equivalent with the largest share being attributed to electricity generation at 0.55 Million tons of CO2-equivalent (51%) and the rest to transport use. (SREP Mission Aide-Memoire)</w:t>
            </w:r>
            <w:r w:rsidR="00544AB0">
              <w:rPr>
                <w:rFonts w:ascii="Calibri" w:hAnsi="Calibri" w:cs="Calibri"/>
                <w:sz w:val="20"/>
                <w:szCs w:val="20"/>
              </w:rPr>
              <w:t xml:space="preserve">. About 19% of GHG emissions </w:t>
            </w:r>
            <w:r w:rsidR="00A44AF9">
              <w:rPr>
                <w:rFonts w:ascii="Calibri" w:hAnsi="Calibri" w:cs="Calibri"/>
                <w:sz w:val="20"/>
                <w:szCs w:val="20"/>
              </w:rPr>
              <w:t>are</w:t>
            </w:r>
            <w:r w:rsidR="00544AB0">
              <w:rPr>
                <w:rFonts w:ascii="Calibri" w:hAnsi="Calibri" w:cs="Calibri"/>
                <w:sz w:val="20"/>
                <w:szCs w:val="20"/>
              </w:rPr>
              <w:t xml:space="preserve"> contributed from energy use in the residential, commercial and institutional sector. This is mainly for electricity consumption. 36% is for both on-site electricity generation and transport use by the tourism sector. The GHG emission is projected to increase to 2.5Mtons CO2-equivalent by the year 2020. (Maldives 2009 Carbon Audit Report).</w:t>
            </w:r>
          </w:p>
          <w:p w:rsidR="000D5083" w:rsidRDefault="000D5083">
            <w:pPr>
              <w:shd w:val="clear" w:color="auto" w:fill="FFFFFF"/>
              <w:spacing w:after="144"/>
              <w:jc w:val="both"/>
              <w:rPr>
                <w:rFonts w:ascii="Calibri" w:hAnsi="Calibri" w:cs="Calibri"/>
                <w:smallCaps/>
                <w:sz w:val="20"/>
                <w:szCs w:val="20"/>
              </w:rPr>
            </w:pPr>
            <w:r>
              <w:rPr>
                <w:rFonts w:ascii="Calibri" w:hAnsi="Calibri" w:cs="Calibri"/>
                <w:caps/>
                <w:sz w:val="20"/>
                <w:szCs w:val="20"/>
                <w:u w:val="single"/>
              </w:rPr>
              <w:t>II. Status and Prospects of the Building Sector</w:t>
            </w:r>
            <w:r>
              <w:rPr>
                <w:rFonts w:ascii="Calibri" w:hAnsi="Calibri" w:cs="Calibri"/>
                <w:smallCaps/>
                <w:sz w:val="20"/>
                <w:szCs w:val="20"/>
              </w:rPr>
              <w:t xml:space="preserve">: </w:t>
            </w:r>
          </w:p>
          <w:p w:rsidR="000D5083" w:rsidRDefault="000D5083">
            <w:pPr>
              <w:shd w:val="clear" w:color="auto" w:fill="FFFFFF"/>
              <w:spacing w:after="144"/>
              <w:jc w:val="both"/>
              <w:rPr>
                <w:rFonts w:ascii="Calibri" w:hAnsi="Calibri" w:cs="Calibri"/>
                <w:sz w:val="20"/>
                <w:szCs w:val="20"/>
              </w:rPr>
            </w:pPr>
            <w:r>
              <w:rPr>
                <w:rFonts w:ascii="Calibri" w:hAnsi="Calibri" w:cs="Calibri"/>
                <w:sz w:val="20"/>
                <w:szCs w:val="20"/>
              </w:rPr>
              <w:t xml:space="preserve">Maldives faces a particular series of challenges in the building sector; including high import cost of construction materials, historic depletion of natural resources (past use of coral materials in construction works, which is now prohibited by law) and high population density of its capital city Male’ with small population groups dispersed across multiple islands and atolls. The low-lying nature of atolls and inhabited islands exposes the population to flooding and the long-term effects of incremental sea-level rise, including a projected increase in salinity of soil and groundwater. </w:t>
            </w:r>
          </w:p>
          <w:p w:rsidR="000D5083" w:rsidRDefault="000D5083">
            <w:pPr>
              <w:shd w:val="clear" w:color="auto" w:fill="FFFFFF"/>
              <w:spacing w:before="144" w:after="144"/>
              <w:jc w:val="both"/>
              <w:rPr>
                <w:rFonts w:ascii="Calibri" w:hAnsi="Calibri" w:cs="Calibri"/>
                <w:sz w:val="20"/>
                <w:szCs w:val="20"/>
              </w:rPr>
            </w:pPr>
            <w:r>
              <w:rPr>
                <w:rFonts w:ascii="Calibri" w:hAnsi="Calibri" w:cs="Calibri"/>
                <w:sz w:val="20"/>
                <w:szCs w:val="20"/>
              </w:rPr>
              <w:t xml:space="preserve">The policy of decentralization and bringing vital social services to the outer atolls will draw resources and populations to the outer atolls reducing pressure in Male’. Consequently, it is predicted that there will be an increase of construction work in atolls. These atolls do not always face the severe space restrictions faced in Male’ which have necessarily resulted in the construction of densely packed multi-storey residential, commercial and government buildings. New residential and industrial complexes are planned in the atolls to help reduce the high population density of Male’ with relocation of the population to other islands. For example, the country is embarking a land reclamation project in the island of Th. Thimarafushi; this will include 10 hectares of land for residential buildings. </w:t>
            </w:r>
          </w:p>
          <w:p w:rsidR="000D5083" w:rsidRDefault="000D5083">
            <w:pPr>
              <w:shd w:val="clear" w:color="auto" w:fill="FFFFFF"/>
              <w:tabs>
                <w:tab w:val="num" w:pos="720"/>
              </w:tabs>
              <w:autoSpaceDE w:val="0"/>
              <w:autoSpaceDN w:val="0"/>
              <w:adjustRightInd w:val="0"/>
              <w:spacing w:after="144"/>
              <w:jc w:val="both"/>
              <w:rPr>
                <w:rFonts w:ascii="Calibri" w:hAnsi="Calibri" w:cs="Calibri"/>
                <w:sz w:val="20"/>
                <w:szCs w:val="20"/>
              </w:rPr>
            </w:pPr>
            <w:r>
              <w:rPr>
                <w:rFonts w:ascii="Calibri" w:hAnsi="Calibri" w:cs="Calibri"/>
                <w:sz w:val="20"/>
                <w:szCs w:val="20"/>
              </w:rPr>
              <w:t xml:space="preserve">A building code exists in the Maldives but no provisions to encourage adoption of energy efficient design and the use or integration of efficient appliances, including incentives (or ‘push’) for existing building stocks to retrofit towards energy conservation and energy efficiency. Efficient lighting is widespread in Male’ but have yet to be in other populated islands. Energy efficient refrigerators and air-conditioners can be bought from local suppliers or directly imported by larger users, such as the tourism-based enterprises, but no systematic promotion that include both incentives and regulations, are in place to maximize the potential for market penetration. </w:t>
            </w:r>
          </w:p>
          <w:p w:rsidR="000D5083" w:rsidRDefault="000D5083">
            <w:pPr>
              <w:spacing w:before="144" w:after="144"/>
              <w:jc w:val="both"/>
              <w:rPr>
                <w:rFonts w:ascii="Calibri" w:hAnsi="Calibri" w:cs="Calibri"/>
                <w:sz w:val="20"/>
                <w:szCs w:val="20"/>
              </w:rPr>
            </w:pPr>
            <w:r>
              <w:rPr>
                <w:rFonts w:ascii="Calibri" w:hAnsi="Calibri" w:cs="Calibri"/>
                <w:smallCaps/>
                <w:sz w:val="20"/>
                <w:szCs w:val="20"/>
                <w:u w:val="single"/>
              </w:rPr>
              <w:t>A. Residential Buildings</w:t>
            </w:r>
            <w:r>
              <w:rPr>
                <w:rFonts w:ascii="Calibri" w:hAnsi="Calibri" w:cs="Calibri"/>
                <w:smallCaps/>
                <w:sz w:val="20"/>
                <w:szCs w:val="20"/>
              </w:rPr>
              <w:t xml:space="preserve"> - </w:t>
            </w:r>
            <w:r>
              <w:rPr>
                <w:rFonts w:ascii="Calibri" w:hAnsi="Calibri" w:cs="Calibri"/>
                <w:sz w:val="20"/>
                <w:szCs w:val="20"/>
              </w:rPr>
              <w:t>The country has an on-going social housing program wherein about 3,000 housing units will be built with about US$170m financial assistance from China. These include row houses, semi-detached houses, and multi-story flats to be built from 2012 to 2014. Following will be another 4,000 housing units, again with external assistance and financing not only from China but also from India.</w:t>
            </w:r>
            <w:r w:rsidR="00A44AF9">
              <w:rPr>
                <w:rFonts w:ascii="Calibri" w:hAnsi="Calibri" w:cs="Calibri"/>
                <w:sz w:val="20"/>
                <w:szCs w:val="20"/>
              </w:rPr>
              <w:t xml:space="preserve"> </w:t>
            </w:r>
            <w:r>
              <w:rPr>
                <w:rFonts w:ascii="Calibri" w:hAnsi="Calibri" w:cs="Calibri"/>
                <w:sz w:val="20"/>
                <w:szCs w:val="20"/>
              </w:rPr>
              <w:t xml:space="preserve">The construction period of these additional 4,000 residential buildings will coincide within the expected GEF project period (2013-2018). </w:t>
            </w:r>
          </w:p>
          <w:p w:rsidR="000D5083" w:rsidRDefault="000D5083">
            <w:pPr>
              <w:spacing w:before="144" w:after="144"/>
              <w:jc w:val="both"/>
              <w:rPr>
                <w:rFonts w:ascii="Calibri" w:hAnsi="Calibri" w:cs="Calibri"/>
                <w:sz w:val="20"/>
                <w:szCs w:val="20"/>
              </w:rPr>
            </w:pPr>
            <w:r>
              <w:rPr>
                <w:rFonts w:ascii="Calibri" w:hAnsi="Calibri" w:cs="Calibri"/>
                <w:smallCaps/>
                <w:sz w:val="20"/>
                <w:szCs w:val="20"/>
                <w:u w:val="single"/>
              </w:rPr>
              <w:t>B. Public Buildings</w:t>
            </w:r>
            <w:r>
              <w:rPr>
                <w:rFonts w:ascii="Calibri" w:hAnsi="Calibri" w:cs="Calibri"/>
                <w:sz w:val="20"/>
                <w:szCs w:val="20"/>
              </w:rPr>
              <w:t xml:space="preserve"> – An Energy Audit of the MHE building showed substantial amount of energy is wasted due to standby losses as well as due to the running of non-essential appliances/ equipment in office off-/night-hours. The wasteful and inefficient use of energy in MHE is duplicates in many other government and public buildings. Such losses can be avoided by having automatic / proper controls like switching off from the panels during such times. The project will target this sub-sector through a strategy that combines behavioral changes in energy use and building retrofitting.</w:t>
            </w:r>
          </w:p>
          <w:p w:rsidR="000D5083" w:rsidRDefault="000D5083">
            <w:pPr>
              <w:shd w:val="clear" w:color="auto" w:fill="FFFFFF"/>
              <w:spacing w:after="144"/>
              <w:jc w:val="both"/>
              <w:rPr>
                <w:rFonts w:ascii="Calibri" w:hAnsi="Calibri" w:cs="Calibri"/>
                <w:sz w:val="20"/>
                <w:szCs w:val="20"/>
              </w:rPr>
            </w:pPr>
            <w:r>
              <w:rPr>
                <w:rFonts w:ascii="Calibri" w:hAnsi="Calibri" w:cs="Calibri"/>
                <w:smallCaps/>
                <w:sz w:val="20"/>
                <w:szCs w:val="20"/>
                <w:u w:val="single"/>
              </w:rPr>
              <w:t>C. Tourism Sub-Sector</w:t>
            </w:r>
            <w:r>
              <w:rPr>
                <w:rFonts w:ascii="Calibri" w:hAnsi="Calibri" w:cs="Calibri"/>
                <w:sz w:val="20"/>
                <w:szCs w:val="20"/>
              </w:rPr>
              <w:t xml:space="preserve"> - Tourist-oriented buildings will also be targeted not only because most of the EE &amp; LCE design and technologies that will be promoted in the residential/public buildings will also be applicable to the tourist-oriented buildings, but also because the tourism sector represents the largest energy consuming sector in the country. Behavioral changes and building retrofitting strategies will also be promoted in this sub-sector.</w:t>
            </w:r>
          </w:p>
          <w:p w:rsidR="000D5083" w:rsidRDefault="000D5083">
            <w:pPr>
              <w:shd w:val="clear" w:color="auto" w:fill="FFFFFF"/>
              <w:spacing w:after="144"/>
              <w:jc w:val="both"/>
              <w:rPr>
                <w:rFonts w:ascii="Calibri" w:hAnsi="Calibri" w:cs="Calibri"/>
                <w:caps/>
                <w:sz w:val="20"/>
                <w:szCs w:val="20"/>
              </w:rPr>
            </w:pPr>
            <w:r>
              <w:rPr>
                <w:rFonts w:ascii="Calibri" w:hAnsi="Calibri" w:cs="Calibri"/>
                <w:caps/>
                <w:sz w:val="20"/>
                <w:szCs w:val="20"/>
              </w:rPr>
              <w:t>IV.   BARRIERs to Energy Efficient Technologies and designs</w:t>
            </w:r>
          </w:p>
          <w:p w:rsidR="000D5083" w:rsidRDefault="000D5083" w:rsidP="00E61729">
            <w:pPr>
              <w:tabs>
                <w:tab w:val="num" w:pos="720"/>
              </w:tabs>
              <w:spacing w:afterLines="60"/>
              <w:jc w:val="both"/>
              <w:rPr>
                <w:rFonts w:ascii="Calibri" w:hAnsi="Calibri" w:cs="Calibri"/>
                <w:sz w:val="20"/>
                <w:szCs w:val="20"/>
              </w:rPr>
            </w:pPr>
            <w:r>
              <w:rPr>
                <w:rFonts w:ascii="Calibri" w:hAnsi="Calibri" w:cs="Calibri"/>
                <w:sz w:val="20"/>
                <w:szCs w:val="20"/>
              </w:rPr>
              <w:t>Energy efficiency interventions have both economic and environmental advantages and many opportunities have short payback periods. However they remained untapped in the Maldives due to the following barriers: (CCTF study)</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427"/>
            </w:tblGrid>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autoSpaceDE w:val="0"/>
                    <w:autoSpaceDN w:val="0"/>
                    <w:adjustRightInd w:val="0"/>
                    <w:jc w:val="center"/>
                    <w:rPr>
                      <w:rFonts w:ascii="Calibri" w:hAnsi="Calibri" w:cs="Calibri"/>
                      <w:b/>
                      <w:bCs/>
                      <w:sz w:val="20"/>
                      <w:szCs w:val="20"/>
                    </w:rPr>
                  </w:pPr>
                  <w:r>
                    <w:rPr>
                      <w:rFonts w:ascii="Calibri" w:hAnsi="Calibri" w:cs="Calibri"/>
                      <w:b/>
                      <w:bCs/>
                      <w:sz w:val="20"/>
                      <w:szCs w:val="20"/>
                    </w:rPr>
                    <w:t>Barriers to Adoption and Commercialization of EE Technologies and Designs</w:t>
                  </w:r>
                </w:p>
              </w:tc>
            </w:tr>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absence of proper institutional mechanism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absence of laws, codes and standards for EE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insufficient human resources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lack of funds to promote, implement and stimulate EE investment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Maldives does not have policy in place to mandate the conservation of energy by different segments of the economy.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The main barrier to energy conservation is the lack of awareness among the industry managers of the potential gains from improved efficiency in terms of environment and financial.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The widespread educational opportunities in energy management and conservation are not available. In addition, the appropriate training facilities, trainers and auditors are lacking.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All the equipment are being imported and there is no policy on the minimum energy efficiency of these equipment.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Because of the small economy, all the products which are energy efficient are not available, even if the customer is ready to pay high price.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Absence or non-availability of special schemes for financing at concessional rates for initiatives on energy efficiency is also one of the factors for slow growth of energy efficiency.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In Maldives, the lack of effective national-level coordination and promotion of energy conservation activities have been major constraint to achieving energy efficiency.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limited activity of energy suppliers in the field of DSM programmes</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weak information support for EE policy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high energy subsidies for some sectors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absence of information dissemination activities to ensure market penetration of energy efficient technology and equipment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absence of an energy conservation law or a definite EE programme </w:t>
                  </w:r>
                </w:p>
                <w:p w:rsidR="000D5083" w:rsidRDefault="000D5083">
                  <w:pPr>
                    <w:pStyle w:val="Default"/>
                    <w:numPr>
                      <w:ilvl w:val="0"/>
                      <w:numId w:val="21"/>
                    </w:numPr>
                    <w:rPr>
                      <w:rFonts w:ascii="Calibri" w:hAnsi="Calibri" w:cs="Calibri"/>
                      <w:sz w:val="18"/>
                      <w:szCs w:val="18"/>
                    </w:rPr>
                  </w:pPr>
                  <w:r>
                    <w:rPr>
                      <w:rFonts w:ascii="Calibri" w:hAnsi="Calibri" w:cs="Calibri"/>
                      <w:sz w:val="18"/>
                      <w:szCs w:val="18"/>
                    </w:rPr>
                    <w:t xml:space="preserve">lack of coordination among government bodies </w:t>
                  </w:r>
                </w:p>
              </w:tc>
            </w:tr>
          </w:tbl>
          <w:p w:rsidR="000D5083" w:rsidRDefault="000D5083">
            <w:pPr>
              <w:autoSpaceDE w:val="0"/>
              <w:autoSpaceDN w:val="0"/>
              <w:adjustRightInd w:val="0"/>
              <w:jc w:val="both"/>
              <w:rPr>
                <w:rFonts w:ascii="Calibri" w:hAnsi="Calibri" w:cs="Calibri"/>
                <w:sz w:val="20"/>
                <w:szCs w:val="20"/>
              </w:rPr>
            </w:pPr>
          </w:p>
          <w:p w:rsidR="000D5083" w:rsidRDefault="000D5083">
            <w:pPr>
              <w:tabs>
                <w:tab w:val="num" w:pos="720"/>
              </w:tabs>
              <w:autoSpaceDE w:val="0"/>
              <w:autoSpaceDN w:val="0"/>
              <w:adjustRightInd w:val="0"/>
              <w:spacing w:before="144" w:after="144"/>
              <w:jc w:val="both"/>
              <w:rPr>
                <w:rFonts w:ascii="Calibri" w:hAnsi="Calibri" w:cs="Calibri"/>
                <w:sz w:val="20"/>
                <w:szCs w:val="20"/>
              </w:rPr>
            </w:pPr>
            <w:r>
              <w:rPr>
                <w:rFonts w:ascii="Calibri" w:hAnsi="Calibri" w:cs="Calibri"/>
                <w:sz w:val="20"/>
                <w:szCs w:val="20"/>
              </w:rPr>
              <w:t xml:space="preserve">In addition to the barriers above, there are reasons common in many developing countries, why EE building technologies have not been successfully applied in them; these are also true for the Maldives:    </w:t>
            </w:r>
          </w:p>
          <w:p w:rsidR="000D5083" w:rsidRDefault="000D5083">
            <w:pPr>
              <w:numPr>
                <w:ilvl w:val="0"/>
                <w:numId w:val="14"/>
              </w:numPr>
              <w:tabs>
                <w:tab w:val="num" w:pos="720"/>
              </w:tabs>
              <w:autoSpaceDE w:val="0"/>
              <w:autoSpaceDN w:val="0"/>
              <w:adjustRightInd w:val="0"/>
              <w:spacing w:before="144" w:after="144"/>
              <w:jc w:val="both"/>
              <w:rPr>
                <w:rFonts w:ascii="Calibri" w:hAnsi="Calibri" w:cs="Calibri"/>
                <w:sz w:val="20"/>
                <w:szCs w:val="20"/>
              </w:rPr>
            </w:pPr>
            <w:r>
              <w:rPr>
                <w:rFonts w:ascii="Calibri" w:hAnsi="Calibri" w:cs="Calibri"/>
                <w:sz w:val="20"/>
                <w:szCs w:val="20"/>
              </w:rPr>
              <w:t>There is an economic disconnect between architects, builders and purchasers. For example, builders have little incentive to construct efficient buildings if the benefits largely accrue to the occupants; any additional costs must be passed on, which requires a change in consumer behavior. The life span of a building is typically 30-100 years, so the benefits will not entirely accrue to the first purchaser, but must be passed on to several generations of owners.</w:t>
            </w:r>
          </w:p>
          <w:p w:rsidR="000D5083" w:rsidRDefault="000D5083">
            <w:pPr>
              <w:numPr>
                <w:ilvl w:val="0"/>
                <w:numId w:val="14"/>
              </w:numPr>
              <w:tabs>
                <w:tab w:val="num" w:pos="720"/>
              </w:tabs>
              <w:autoSpaceDE w:val="0"/>
              <w:autoSpaceDN w:val="0"/>
              <w:adjustRightInd w:val="0"/>
              <w:spacing w:before="144" w:after="144"/>
              <w:jc w:val="both"/>
              <w:rPr>
                <w:rFonts w:ascii="Calibri" w:hAnsi="Calibri" w:cs="Calibri"/>
                <w:sz w:val="20"/>
                <w:szCs w:val="20"/>
              </w:rPr>
            </w:pPr>
            <w:r>
              <w:rPr>
                <w:rFonts w:ascii="Calibri" w:hAnsi="Calibri" w:cs="Calibri"/>
                <w:sz w:val="20"/>
                <w:szCs w:val="20"/>
              </w:rPr>
              <w:t>There is a parallel fragmentation of the building process. There is little incentive to integrate different building functions (planning, engineering, architecture, energy systems, use patterns and so on), even though the greatest efficiency gains require such integration. There are low levels of awareness and technical knowledge as to opportunities for cost-effective improvements. As a result, architects under-specify and builders under-invest in energy-saving designs and materials. This market failure can be solved; the solution will require a comprehensive set of building solutions and incentives for innovation, awareness-raising measures, proper standards and rating systems, and various forms of market suasion, such as energy pricing and tax incentives for relevant investments.</w:t>
            </w:r>
          </w:p>
          <w:p w:rsidR="000D5083" w:rsidRDefault="000D5083">
            <w:pPr>
              <w:numPr>
                <w:ilvl w:val="0"/>
                <w:numId w:val="14"/>
              </w:numPr>
              <w:tabs>
                <w:tab w:val="num" w:pos="720"/>
              </w:tabs>
              <w:autoSpaceDE w:val="0"/>
              <w:autoSpaceDN w:val="0"/>
              <w:adjustRightInd w:val="0"/>
              <w:spacing w:before="144" w:after="144"/>
              <w:jc w:val="both"/>
              <w:rPr>
                <w:rFonts w:ascii="Calibri" w:hAnsi="Calibri" w:cs="Calibri"/>
                <w:sz w:val="20"/>
                <w:szCs w:val="20"/>
              </w:rPr>
            </w:pPr>
            <w:r>
              <w:rPr>
                <w:rFonts w:ascii="Calibri" w:hAnsi="Calibri" w:cs="Calibri"/>
                <w:sz w:val="20"/>
                <w:szCs w:val="20"/>
              </w:rPr>
              <w:t xml:space="preserve">The buildings sector is generally under-investing in energy efficiency and other low carbon energy building technologies due to diffused responsibility for energy consumption over the life time of any given building. For example, there are no national coordinated efforts to promote energy efficient building and municipal technologies, such as efficient lighting. A comprehensive set of standards, rating systems, market suasion and innovation incentive tools are needed to break the stagnation in progressive improvements. Key constraints to these processes include fragmentation of stakeholders, lack of awareness, lack of means for key decision makers to participate in the global process to design a common benchmarking system, lack of capacity to adequately analyze the needs for policy intervention at local levels, and inadequate capacity to build capacity to collect local level data required for baselines and policy tools, such as information about availability of materials, products, services and the local level of technological development. These are similar to the barriers mentioned in the table above. </w:t>
            </w:r>
          </w:p>
          <w:p w:rsidR="000D5083" w:rsidRDefault="000D5083">
            <w:pPr>
              <w:spacing w:after="144"/>
              <w:jc w:val="both"/>
              <w:rPr>
                <w:rFonts w:ascii="Calibri" w:hAnsi="Calibri" w:cs="Calibri"/>
                <w:smallCaps/>
                <w:sz w:val="20"/>
                <w:szCs w:val="20"/>
              </w:rPr>
            </w:pPr>
            <w:r>
              <w:rPr>
                <w:rFonts w:ascii="Calibri" w:hAnsi="Calibri" w:cs="Calibri"/>
                <w:smallCaps/>
                <w:sz w:val="20"/>
                <w:szCs w:val="20"/>
              </w:rPr>
              <w:t>III.  CURRENT COUNTRY EFFORTS IN PROMOTING ENERGY EFFICIENCY</w:t>
            </w:r>
          </w:p>
          <w:p w:rsidR="000D5083" w:rsidRDefault="000D5083">
            <w:pPr>
              <w:shd w:val="clear" w:color="auto" w:fill="FFFFFF"/>
              <w:spacing w:before="144"/>
              <w:jc w:val="both"/>
              <w:rPr>
                <w:rFonts w:ascii="Calibri" w:hAnsi="Calibri" w:cs="Calibri"/>
                <w:sz w:val="20"/>
                <w:szCs w:val="20"/>
              </w:rPr>
            </w:pPr>
            <w:r>
              <w:rPr>
                <w:rFonts w:ascii="Calibri" w:hAnsi="Calibri" w:cs="Calibri"/>
                <w:sz w:val="20"/>
                <w:szCs w:val="20"/>
              </w:rPr>
              <w:t xml:space="preserve">With support from the CCTF, Maldives has started to develop and initiate the implementation of a comprehensive approach to promoting energy efficiency in the country in 2011. They include: </w:t>
            </w:r>
          </w:p>
          <w:p w:rsidR="000D5083" w:rsidRDefault="000D5083">
            <w:pPr>
              <w:shd w:val="clear" w:color="auto" w:fill="FFFFFF"/>
              <w:spacing w:before="144"/>
              <w:jc w:val="both"/>
              <w:rPr>
                <w:rFonts w:ascii="Calibri" w:hAnsi="Calibri" w:cs="Calibri"/>
                <w:sz w:val="20"/>
                <w:szCs w:val="20"/>
              </w:rPr>
            </w:pPr>
            <w:r>
              <w:rPr>
                <w:rFonts w:ascii="Calibri" w:hAnsi="Calibri" w:cs="Calibri"/>
                <w:sz w:val="20"/>
                <w:szCs w:val="20"/>
                <w:u w:val="single"/>
              </w:rPr>
              <w:t>A</w:t>
            </w:r>
            <w:r>
              <w:rPr>
                <w:rFonts w:ascii="Calibri" w:hAnsi="Calibri" w:cs="Calibri"/>
                <w:smallCaps/>
                <w:sz w:val="20"/>
                <w:szCs w:val="20"/>
                <w:u w:val="single"/>
              </w:rPr>
              <w:t>.  Defined sectoral EE intervention strategies</w:t>
            </w:r>
            <w:r>
              <w:rPr>
                <w:rFonts w:ascii="Calibri" w:hAnsi="Calibri" w:cs="Calibri"/>
                <w:smallCaps/>
                <w:sz w:val="20"/>
                <w:szCs w:val="20"/>
              </w:rPr>
              <w:t>–</w:t>
            </w:r>
            <w:r>
              <w:rPr>
                <w:rFonts w:ascii="Calibri" w:hAnsi="Calibri" w:cs="Calibri"/>
                <w:sz w:val="20"/>
                <w:szCs w:val="20"/>
              </w:rPr>
              <w:t>Maldives has defined the following EE strategies:</w:t>
            </w:r>
          </w:p>
          <w:p w:rsidR="000D5083" w:rsidRDefault="000D5083">
            <w:pPr>
              <w:pStyle w:val="ListParagraph"/>
            </w:pPr>
            <w:r>
              <w:rPr>
                <w:u w:val="single"/>
              </w:rPr>
              <w:t>All Buildings</w:t>
            </w:r>
            <w:r>
              <w:t xml:space="preserve">:  (a) Promote demand side management with the focus on large energy users such as public building and resort hotels, and (b) Develop resources necessary to carry out energy efficiency audits and design; and certification mechanism for energy efficiency buildings. </w:t>
            </w:r>
          </w:p>
          <w:p w:rsidR="000D5083" w:rsidRDefault="000D5083">
            <w:pPr>
              <w:pStyle w:val="ListParagraph"/>
            </w:pPr>
            <w:r>
              <w:rPr>
                <w:u w:val="single"/>
              </w:rPr>
              <w:t>Tourist Resorts</w:t>
            </w:r>
            <w:r>
              <w:t>: (a) Promote demand side management focusing  on large energy users (e.g.; public building and hotels); (b) Develop resources necessary to carry out EE audits and design and certification mechanism for EE buildings; and (c) Encourage utilizing waste heat from on-site power generation for other applications.</w:t>
            </w:r>
          </w:p>
          <w:p w:rsidR="000D5083" w:rsidRDefault="000D5083">
            <w:pPr>
              <w:pStyle w:val="ListParagraph"/>
            </w:pPr>
            <w:r>
              <w:rPr>
                <w:u w:val="single"/>
              </w:rPr>
              <w:t>Appliances</w:t>
            </w:r>
            <w:r>
              <w:t xml:space="preserve">: (a) Promote EE in electrical production, distribution and usage via various workshops involving the necessary stakeholders, &amp; (b) Implement EE labelling in electrical appliances. </w:t>
            </w:r>
          </w:p>
          <w:p w:rsidR="000D5083" w:rsidRDefault="000D5083">
            <w:pPr>
              <w:shd w:val="clear" w:color="auto" w:fill="FFFFFF"/>
              <w:jc w:val="both"/>
              <w:rPr>
                <w:rFonts w:ascii="Calibri" w:hAnsi="Calibri" w:cs="Calibri"/>
                <w:sz w:val="20"/>
                <w:szCs w:val="20"/>
              </w:rPr>
            </w:pPr>
            <w:r>
              <w:rPr>
                <w:rFonts w:ascii="Calibri" w:hAnsi="Calibri" w:cs="Calibri"/>
                <w:smallCaps/>
                <w:sz w:val="20"/>
                <w:szCs w:val="20"/>
                <w:u w:val="single"/>
              </w:rPr>
              <w:t>B. Identified EE designs and technologies to be promoted</w:t>
            </w:r>
            <w:r>
              <w:rPr>
                <w:rFonts w:ascii="Calibri" w:hAnsi="Calibri" w:cs="Calibri"/>
                <w:sz w:val="20"/>
                <w:szCs w:val="20"/>
              </w:rPr>
              <w:t>- Based on preliminary assessments (i.e.; ocular surveys, walk-in energy audits and interviews) the following EE interventions were recommended:</w:t>
            </w:r>
          </w:p>
          <w:p w:rsidR="000D5083" w:rsidRDefault="000D5083">
            <w:pPr>
              <w:pStyle w:val="ListParagraph"/>
            </w:pPr>
            <w:r>
              <w:rPr>
                <w:u w:val="single"/>
              </w:rPr>
              <w:t>Energy efficient air-conditioners</w:t>
            </w:r>
            <w:r>
              <w:t>: Replacement of existing low efficiency air conditioners with new high efficiency air conditioners: Most ACs now in used has EER in between 2.25 – 3.00 against the EER in the range of 3.30 – 4.00 of new energy efficient (with or without inverter technology). The energy saving potential can be as much as 65126 MWh/ annum if all the non-efficient ACs are replaced with high efficiency inverter type ACs. Replacement of existing low efficiency refrigerators with new high efficiency refrigerators can save around 25159 MWh of electricity and have an average payback of around 3 years. This will also reduce the electricity demand by around 2.87 MW.</w:t>
            </w:r>
          </w:p>
          <w:p w:rsidR="000D5083" w:rsidRDefault="000D5083">
            <w:pPr>
              <w:pStyle w:val="ListParagraph"/>
            </w:pPr>
            <w:r>
              <w:rPr>
                <w:u w:val="single"/>
              </w:rPr>
              <w:t xml:space="preserve">Energy efficient lighting: </w:t>
            </w:r>
            <w:r>
              <w:t>The targets will be both indoor and outdoor lighting. Analysis of the data obtained from utilities indicates that replacement of inefficient street lighting has very good payback period of around 18 months.</w:t>
            </w:r>
          </w:p>
          <w:p w:rsidR="000D5083" w:rsidRDefault="000D5083">
            <w:pPr>
              <w:pStyle w:val="ListParagraph"/>
            </w:pPr>
            <w:r>
              <w:rPr>
                <w:u w:val="single"/>
              </w:rPr>
              <w:t>Energy efficient design and end-use in buildings</w:t>
            </w:r>
            <w:r>
              <w:t xml:space="preserve">: An energy audit of the MHE building showed standby losses as well as wasted energy due to the running of non-essential appliances/equipment in office-off hours/ night hours. Such losses can be avoided by having automatic / proper controls like switching off from the panels during such times. This audit suggests significant opportunities to reduce energy use in governmental &amp; commercial buildings. Just by addressing inefficient and excessive inefficient air-conditioning systems and lighting etc, electricity use can be cut by 15% to 25% (as previously mentioned). </w:t>
            </w:r>
          </w:p>
          <w:p w:rsidR="000D5083" w:rsidRDefault="000D5083">
            <w:pPr>
              <w:pStyle w:val="ListParagraph"/>
            </w:pPr>
            <w:r>
              <w:rPr>
                <w:u w:val="single"/>
              </w:rPr>
              <w:t>Waste heat recovery</w:t>
            </w:r>
            <w:r>
              <w:t>: All on-site electricity production is from DG (diesel generators) sets which generate exhaust gases at the temperature of more than 400</w:t>
            </w:r>
            <w:r>
              <w:rPr>
                <w:vertAlign w:val="superscript"/>
              </w:rPr>
              <w:t>o</w:t>
            </w:r>
            <w:r>
              <w:t>C. This high temperature and volume of exhaust gases combined with jacket heat of DG sets can be useful for applications using ice making and water desalination VAMs (Vapor Absorption Machines). Almost all the desalination plants being operated in Maldives also run on DG power. At present, there are technologies available to use waste heat from such desalination plants. An example is Low Temperature Multi Effect Distillation (LT-MED) technology that uses the waste heat from DG power stations. This brings the operating costs down to a minimum and the thermal efficiency of the diesel power station up (40% to over 80%).</w:t>
            </w:r>
          </w:p>
          <w:p w:rsidR="000D5083" w:rsidRDefault="000D5083">
            <w:pPr>
              <w:spacing w:before="144" w:after="144"/>
              <w:jc w:val="both"/>
              <w:rPr>
                <w:rFonts w:ascii="Calibri" w:hAnsi="Calibri" w:cs="Calibri"/>
                <w:sz w:val="20"/>
                <w:szCs w:val="20"/>
              </w:rPr>
            </w:pPr>
            <w:r>
              <w:rPr>
                <w:rFonts w:ascii="Calibri" w:hAnsi="Calibri" w:cs="Calibri"/>
                <w:sz w:val="20"/>
                <w:szCs w:val="20"/>
                <w:u w:val="single"/>
              </w:rPr>
              <w:t xml:space="preserve">B. </w:t>
            </w:r>
            <w:r>
              <w:rPr>
                <w:rFonts w:ascii="Calibri" w:hAnsi="Calibri" w:cs="Calibri"/>
                <w:smallCaps/>
                <w:sz w:val="20"/>
                <w:szCs w:val="20"/>
                <w:u w:val="single"/>
              </w:rPr>
              <w:t>Analyzed needs for policies and institutional mechanisms</w:t>
            </w:r>
            <w:r>
              <w:rPr>
                <w:rFonts w:ascii="Calibri" w:hAnsi="Calibri" w:cs="Calibri"/>
                <w:smallCaps/>
                <w:sz w:val="20"/>
                <w:szCs w:val="20"/>
              </w:rPr>
              <w:t xml:space="preserve">- </w:t>
            </w:r>
            <w:r>
              <w:rPr>
                <w:rFonts w:ascii="Calibri" w:hAnsi="Calibri" w:cs="Calibri"/>
                <w:sz w:val="20"/>
                <w:szCs w:val="20"/>
              </w:rPr>
              <w:t xml:space="preserve">The Maldives CCTF Study recommended the provision of an enabling framework that confers authority, build consensus, attract attention to and provide resources for EE policy implementation. The government should use a national strategy formulation/action planning process to engage stakeholders and build consensus to formulate and adopt this enabling framework, which should laws and decrees, institutional arrangements, strategies and action plans, and funding mechanisms. </w:t>
            </w:r>
          </w:p>
          <w:p w:rsidR="000D5083" w:rsidRDefault="000D5083">
            <w:pPr>
              <w:spacing w:after="144"/>
              <w:jc w:val="both"/>
              <w:rPr>
                <w:rFonts w:ascii="Calibri" w:hAnsi="Calibri" w:cs="Calibri"/>
                <w:sz w:val="20"/>
                <w:szCs w:val="20"/>
              </w:rPr>
            </w:pPr>
            <w:r>
              <w:rPr>
                <w:rFonts w:ascii="Calibri" w:hAnsi="Calibri" w:cs="Calibri"/>
                <w:sz w:val="20"/>
                <w:szCs w:val="20"/>
              </w:rPr>
              <w:t>Six main types of institutional arrangements were identified: implementing agencies, resourcing requirements, energy providers, public-private sector co-operation, stakeholder engagement and international development assistance. Many types of organizations can be implementing agencies: government energy ministries, specialist clean-energy agencies, energy providers, private and state-owned enterprises and non-profit organizations. The study pointed out that resourcing requirements are an important consideration in making sure that implementing agencies have the financial and human resources needed to assume their policy implementation responsibilities. Public-private sector co-operation ensures that government policies take full advantage of the resources and commercial acumen of the private sector and allows public funding to be leveraged through private investment.</w:t>
            </w:r>
          </w:p>
          <w:p w:rsidR="000D5083" w:rsidRDefault="000D5083">
            <w:pPr>
              <w:spacing w:after="144"/>
              <w:jc w:val="both"/>
              <w:rPr>
                <w:rFonts w:ascii="Calibri" w:hAnsi="Calibri" w:cs="Calibri"/>
                <w:sz w:val="20"/>
                <w:szCs w:val="20"/>
              </w:rPr>
            </w:pPr>
            <w:r>
              <w:rPr>
                <w:rFonts w:ascii="Calibri" w:hAnsi="Calibri" w:cs="Calibri"/>
                <w:sz w:val="20"/>
                <w:szCs w:val="20"/>
              </w:rPr>
              <w:t xml:space="preserve">The study recommended that co-ordination mechanisms be created both within and across levels of government to directly influence the quality and effectiveness of EE policy outcomes. Intra-governmental co-ordination helps avoid overlap and duplication, and allows informed discussions about how best to implement policies. Co-ordination across levels of government (i.e. inter-governmental) will enables national government to devolve implementation responsibility to local authorities, while retaining overall programmatic control. </w:t>
            </w:r>
          </w:p>
          <w:p w:rsidR="000D5083" w:rsidRDefault="000D5083">
            <w:pPr>
              <w:spacing w:after="144"/>
              <w:jc w:val="both"/>
              <w:rPr>
                <w:rFonts w:ascii="Calibri" w:hAnsi="Calibri" w:cs="Calibri"/>
                <w:sz w:val="20"/>
                <w:szCs w:val="20"/>
              </w:rPr>
            </w:pPr>
            <w:r>
              <w:rPr>
                <w:rFonts w:ascii="Calibri" w:hAnsi="Calibri" w:cs="Calibri"/>
                <w:sz w:val="20"/>
                <w:szCs w:val="20"/>
                <w:u w:val="single"/>
              </w:rPr>
              <w:t>C</w:t>
            </w:r>
            <w:r>
              <w:rPr>
                <w:rFonts w:ascii="Calibri" w:hAnsi="Calibri" w:cs="Calibri"/>
                <w:smallCaps/>
                <w:sz w:val="20"/>
                <w:szCs w:val="20"/>
                <w:u w:val="single"/>
              </w:rPr>
              <w:t>. Explored financing schemes</w:t>
            </w:r>
            <w:r w:rsidR="00A44AF9">
              <w:rPr>
                <w:rFonts w:ascii="Calibri" w:hAnsi="Calibri" w:cs="Calibri"/>
                <w:smallCaps/>
                <w:sz w:val="20"/>
                <w:szCs w:val="20"/>
                <w:u w:val="single"/>
              </w:rPr>
              <w:t xml:space="preserve"> </w:t>
            </w:r>
            <w:r>
              <w:rPr>
                <w:rFonts w:ascii="Calibri" w:hAnsi="Calibri" w:cs="Calibri"/>
                <w:sz w:val="20"/>
                <w:szCs w:val="20"/>
              </w:rPr>
              <w:t>- Particular to promoting EE buildings, the study recognized the need for up-front capital investment. The study recommends to explore the use of energy savings performance contracts (ESPCs) offered by energy service companies (ESCOs). In an ESPC, a third party pays the up-front cost of the building improvement and then recoups the cost over time from the building owner by sharing in the savings realized through lower energy bills.</w:t>
            </w:r>
          </w:p>
          <w:p w:rsidR="000D5083" w:rsidRDefault="000D5083">
            <w:pPr>
              <w:spacing w:before="144" w:after="144"/>
              <w:jc w:val="both"/>
              <w:rPr>
                <w:rFonts w:ascii="Calibri" w:hAnsi="Calibri" w:cs="Calibri"/>
                <w:sz w:val="20"/>
                <w:szCs w:val="20"/>
              </w:rPr>
            </w:pPr>
            <w:r>
              <w:rPr>
                <w:rFonts w:ascii="Calibri" w:hAnsi="Calibri" w:cs="Calibri"/>
                <w:sz w:val="20"/>
                <w:szCs w:val="20"/>
                <w:u w:val="single"/>
              </w:rPr>
              <w:t xml:space="preserve">D. Implemented </w:t>
            </w:r>
            <w:r>
              <w:rPr>
                <w:rFonts w:ascii="Calibri" w:hAnsi="Calibri" w:cs="Calibri"/>
                <w:smallCaps/>
                <w:sz w:val="20"/>
                <w:szCs w:val="20"/>
                <w:u w:val="single"/>
              </w:rPr>
              <w:t>preliminary EE promotional activities</w:t>
            </w:r>
            <w:r>
              <w:rPr>
                <w:rFonts w:ascii="Calibri" w:hAnsi="Calibri" w:cs="Calibri"/>
                <w:smallCaps/>
                <w:sz w:val="20"/>
                <w:szCs w:val="20"/>
              </w:rPr>
              <w:t xml:space="preserve"> -</w:t>
            </w:r>
            <w:r>
              <w:rPr>
                <w:rFonts w:ascii="Calibri" w:hAnsi="Calibri" w:cs="Calibri"/>
                <w:sz w:val="20"/>
                <w:szCs w:val="20"/>
              </w:rPr>
              <w:t xml:space="preserve">The CCTF also funds (US$ 2.64M) the Maldives Clean Energy Climate Mitigation (CECM) project. The energy efficiency component of the CECM project supports initiatives designed to improve end-use energy efficiency on the island. Consumer surveys will be undertaken to develop a baseline for energy consumption and assess the potential for electricity savings for various consumer groups including at public buildings. A number of energy audits will be carried out and based on the results; a demonstration project will be carried in Thinadhoo Island, the “demonstration island” of the project. </w:t>
            </w:r>
          </w:p>
          <w:p w:rsidR="000D5083" w:rsidRDefault="000D5083">
            <w:pPr>
              <w:spacing w:after="144"/>
              <w:jc w:val="both"/>
              <w:rPr>
                <w:rFonts w:ascii="Calibri" w:hAnsi="Calibri" w:cs="Calibri"/>
                <w:caps/>
                <w:sz w:val="20"/>
                <w:szCs w:val="20"/>
                <w:u w:val="single"/>
              </w:rPr>
            </w:pPr>
            <w:r>
              <w:rPr>
                <w:rFonts w:ascii="Calibri" w:hAnsi="Calibri" w:cs="Calibri"/>
                <w:caps/>
                <w:sz w:val="20"/>
                <w:szCs w:val="20"/>
                <w:u w:val="single"/>
              </w:rPr>
              <w:t>IV. maldives Road Maps for Energy Efficiency</w:t>
            </w:r>
          </w:p>
          <w:p w:rsidR="000D5083" w:rsidRDefault="000D5083">
            <w:pPr>
              <w:spacing w:after="144"/>
              <w:jc w:val="both"/>
              <w:rPr>
                <w:rFonts w:ascii="Calibri" w:hAnsi="Calibri" w:cs="Calibri"/>
                <w:sz w:val="20"/>
                <w:szCs w:val="20"/>
              </w:rPr>
            </w:pPr>
            <w:r>
              <w:rPr>
                <w:rFonts w:ascii="Calibri" w:hAnsi="Calibri" w:cs="Calibri"/>
                <w:sz w:val="20"/>
                <w:szCs w:val="20"/>
              </w:rPr>
              <w:t>Based on the results of the activities listed in Section III above, preliminary EE road maps have been formulated as follows:</w:t>
            </w:r>
          </w:p>
          <w:p w:rsidR="000D5083" w:rsidRDefault="000D5083">
            <w:pPr>
              <w:shd w:val="clear" w:color="auto" w:fill="FFFFFF"/>
              <w:spacing w:after="144"/>
              <w:jc w:val="both"/>
              <w:rPr>
                <w:rFonts w:ascii="Calibri" w:hAnsi="Calibri" w:cs="Calibri"/>
                <w:sz w:val="20"/>
                <w:szCs w:val="20"/>
              </w:rPr>
            </w:pPr>
            <w:r>
              <w:rPr>
                <w:rFonts w:ascii="Calibri" w:hAnsi="Calibri" w:cs="Calibri"/>
                <w:smallCaps/>
                <w:sz w:val="20"/>
                <w:szCs w:val="20"/>
                <w:u w:val="single"/>
              </w:rPr>
              <w:t>A. Promoting energy efficient buildings</w:t>
            </w:r>
            <w:r>
              <w:rPr>
                <w:rFonts w:ascii="Calibri" w:hAnsi="Calibri" w:cs="Calibri"/>
                <w:caps/>
                <w:sz w:val="20"/>
                <w:szCs w:val="20"/>
              </w:rPr>
              <w:t xml:space="preserve">- </w:t>
            </w:r>
            <w:r>
              <w:rPr>
                <w:rFonts w:ascii="Calibri" w:hAnsi="Calibri" w:cs="Calibri"/>
                <w:sz w:val="20"/>
                <w:szCs w:val="20"/>
              </w:rPr>
              <w:t>To promote energy efficiency in the building sector (i.e.;  household and government buildings) the following road map was defined by the study:</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13"/>
              <w:gridCol w:w="4214"/>
            </w:tblGrid>
            <w:tr w:rsidR="000D5083">
              <w:tc>
                <w:tcPr>
                  <w:tcW w:w="8427" w:type="dxa"/>
                  <w:gridSpan w:val="2"/>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center"/>
                    <w:rPr>
                      <w:rFonts w:ascii="Calibri" w:hAnsi="Calibri" w:cs="Calibri"/>
                      <w:b/>
                      <w:bCs/>
                      <w:sz w:val="18"/>
                      <w:szCs w:val="18"/>
                    </w:rPr>
                  </w:pPr>
                  <w:r>
                    <w:rPr>
                      <w:rFonts w:ascii="Calibri" w:hAnsi="Calibri" w:cs="Calibri"/>
                      <w:b/>
                      <w:bCs/>
                      <w:sz w:val="18"/>
                      <w:szCs w:val="18"/>
                    </w:rPr>
                    <w:t>Road Map for Energy Efficient Buildings (Household &amp; Government Buildings)</w:t>
                  </w:r>
                </w:p>
              </w:tc>
            </w:tr>
            <w:tr w:rsidR="000D5083">
              <w:trPr>
                <w:trHeight w:val="278"/>
              </w:trPr>
              <w:tc>
                <w:tcPr>
                  <w:tcW w:w="4213" w:type="dxa"/>
                  <w:tcBorders>
                    <w:top w:val="single" w:sz="4" w:space="0" w:color="auto"/>
                    <w:left w:val="single" w:sz="4" w:space="0" w:color="auto"/>
                    <w:bottom w:val="single" w:sz="4" w:space="0" w:color="auto"/>
                    <w:right w:val="single" w:sz="4" w:space="0" w:color="auto"/>
                  </w:tcBorders>
                  <w:vAlign w:val="center"/>
                </w:tcPr>
                <w:p w:rsidR="000D5083" w:rsidRDefault="000D5083">
                  <w:pPr>
                    <w:shd w:val="clear" w:color="auto" w:fill="FFFFFF"/>
                    <w:jc w:val="center"/>
                    <w:rPr>
                      <w:rFonts w:ascii="Calibri" w:hAnsi="Calibri" w:cs="Calibri"/>
                      <w:b/>
                      <w:bCs/>
                      <w:color w:val="FF0000"/>
                      <w:sz w:val="18"/>
                      <w:szCs w:val="18"/>
                    </w:rPr>
                  </w:pPr>
                  <w:r>
                    <w:rPr>
                      <w:rFonts w:ascii="Calibri" w:hAnsi="Calibri" w:cs="Calibri"/>
                      <w:b/>
                      <w:bCs/>
                      <w:color w:val="000000"/>
                      <w:sz w:val="18"/>
                      <w:szCs w:val="18"/>
                    </w:rPr>
                    <w:t>Existing Buildings</w:t>
                  </w:r>
                </w:p>
              </w:tc>
              <w:tc>
                <w:tcPr>
                  <w:tcW w:w="4214" w:type="dxa"/>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center"/>
                    <w:rPr>
                      <w:rFonts w:ascii="Calibri" w:hAnsi="Calibri" w:cs="Calibri"/>
                      <w:b/>
                      <w:bCs/>
                      <w:sz w:val="18"/>
                      <w:szCs w:val="18"/>
                    </w:rPr>
                  </w:pPr>
                  <w:r>
                    <w:rPr>
                      <w:rFonts w:ascii="Calibri" w:hAnsi="Calibri" w:cs="Calibri"/>
                      <w:b/>
                      <w:bCs/>
                      <w:sz w:val="18"/>
                      <w:szCs w:val="18"/>
                    </w:rPr>
                    <w:t>New Buildings</w:t>
                  </w:r>
                </w:p>
              </w:tc>
            </w:tr>
            <w:tr w:rsidR="000D5083">
              <w:trPr>
                <w:trHeight w:val="278"/>
              </w:trPr>
              <w:tc>
                <w:tcPr>
                  <w:tcW w:w="8427" w:type="dxa"/>
                  <w:gridSpan w:val="2"/>
                  <w:tcBorders>
                    <w:top w:val="single" w:sz="4" w:space="0" w:color="auto"/>
                    <w:left w:val="single" w:sz="4" w:space="0" w:color="auto"/>
                    <w:bottom w:val="single" w:sz="4" w:space="0" w:color="auto"/>
                    <w:right w:val="single" w:sz="4" w:space="0" w:color="auto"/>
                  </w:tcBorders>
                  <w:vAlign w:val="center"/>
                </w:tcPr>
                <w:p w:rsidR="000D5083" w:rsidRDefault="000D5083">
                  <w:pPr>
                    <w:shd w:val="clear" w:color="auto" w:fill="FFFFFF"/>
                    <w:rPr>
                      <w:rFonts w:ascii="Calibri" w:hAnsi="Calibri" w:cs="Calibri"/>
                      <w:b/>
                      <w:bCs/>
                      <w:sz w:val="18"/>
                      <w:szCs w:val="18"/>
                    </w:rPr>
                  </w:pPr>
                  <w:r>
                    <w:rPr>
                      <w:rFonts w:ascii="Calibri" w:hAnsi="Calibri" w:cs="Calibri"/>
                      <w:b/>
                      <w:bCs/>
                      <w:sz w:val="18"/>
                      <w:szCs w:val="18"/>
                    </w:rPr>
                    <w:t>Dissemination &amp; Commercialization Strategies</w:t>
                  </w:r>
                </w:p>
              </w:tc>
            </w:tr>
            <w:tr w:rsidR="000D5083">
              <w:tc>
                <w:tcPr>
                  <w:tcW w:w="4213" w:type="dxa"/>
                  <w:tcBorders>
                    <w:top w:val="single" w:sz="4" w:space="0" w:color="auto"/>
                    <w:left w:val="single" w:sz="4" w:space="0" w:color="auto"/>
                    <w:bottom w:val="single" w:sz="4" w:space="0" w:color="auto"/>
                    <w:right w:val="single" w:sz="4" w:space="0" w:color="auto"/>
                  </w:tcBorders>
                </w:tcPr>
                <w:p w:rsidR="000D5083" w:rsidRDefault="000D5083">
                  <w:pPr>
                    <w:pStyle w:val="ListParagraph"/>
                    <w:spacing w:after="0"/>
                  </w:pPr>
                  <w:r>
                    <w:t xml:space="preserve">Awareness creation program amongst consumer regarding using energy efficient appliances, operation of ACs, Losses in building envelop etc. </w:t>
                  </w:r>
                </w:p>
                <w:p w:rsidR="000D5083" w:rsidRDefault="000D5083">
                  <w:pPr>
                    <w:pStyle w:val="ListParagraph"/>
                    <w:spacing w:after="0"/>
                  </w:pPr>
                  <w:r>
                    <w:t xml:space="preserve">Data reporting mechanism for buildings to the concerned agency need to be defined. </w:t>
                  </w:r>
                </w:p>
                <w:p w:rsidR="000D5083" w:rsidRDefault="000D5083">
                  <w:pPr>
                    <w:pStyle w:val="ListParagraph"/>
                    <w:spacing w:after="0"/>
                  </w:pPr>
                  <w:r>
                    <w:t xml:space="preserve">Introduction of annual energy audits of public/commercial buildings having load more than 100 KW at least for public owned buildings. </w:t>
                  </w:r>
                </w:p>
                <w:p w:rsidR="000D5083" w:rsidRDefault="000D5083">
                  <w:pPr>
                    <w:pStyle w:val="ListParagraph"/>
                    <w:spacing w:after="0"/>
                  </w:pPr>
                  <w:r>
                    <w:t xml:space="preserve">Develop energy conservation building code for Maldives </w:t>
                  </w:r>
                </w:p>
                <w:p w:rsidR="000D5083" w:rsidRDefault="000D5083">
                  <w:pPr>
                    <w:pStyle w:val="ListParagraph"/>
                    <w:spacing w:after="0"/>
                  </w:pPr>
                  <w:r>
                    <w:t xml:space="preserve">Engage pilot state owned public buildings for EE implementation through ESCO route </w:t>
                  </w:r>
                </w:p>
                <w:p w:rsidR="000D5083" w:rsidRDefault="000D5083">
                  <w:pPr>
                    <w:pStyle w:val="ListParagraph"/>
                    <w:spacing w:after="0"/>
                  </w:pPr>
                  <w:r>
                    <w:t>Design building certification process</w:t>
                  </w:r>
                </w:p>
              </w:tc>
              <w:tc>
                <w:tcPr>
                  <w:tcW w:w="4214" w:type="dxa"/>
                  <w:tcBorders>
                    <w:top w:val="single" w:sz="4" w:space="0" w:color="auto"/>
                    <w:left w:val="single" w:sz="4" w:space="0" w:color="auto"/>
                    <w:bottom w:val="single" w:sz="4" w:space="0" w:color="auto"/>
                    <w:right w:val="single" w:sz="4" w:space="0" w:color="auto"/>
                  </w:tcBorders>
                </w:tcPr>
                <w:p w:rsidR="000D5083" w:rsidRDefault="000D5083">
                  <w:pPr>
                    <w:pStyle w:val="ListParagraph"/>
                  </w:pPr>
                  <w:r>
                    <w:t xml:space="preserve">Awareness creation program amongst consumer regarding using energy efficient appliances, operation of ACs, Losses in building envelop etc. </w:t>
                  </w:r>
                </w:p>
                <w:p w:rsidR="000D5083" w:rsidRDefault="000D5083">
                  <w:pPr>
                    <w:pStyle w:val="ListParagraph"/>
                  </w:pPr>
                  <w:r>
                    <w:t xml:space="preserve">Design Building code containing energy efficiency as one of the components </w:t>
                  </w:r>
                </w:p>
                <w:p w:rsidR="000D5083" w:rsidRDefault="000D5083">
                  <w:pPr>
                    <w:pStyle w:val="ListParagraph"/>
                  </w:pPr>
                  <w:r>
                    <w:t xml:space="preserve">Identify market needs and develop market for adoption of building code. </w:t>
                  </w:r>
                </w:p>
                <w:p w:rsidR="000D5083" w:rsidRDefault="000D5083">
                  <w:pPr>
                    <w:pStyle w:val="ListParagraph"/>
                  </w:pPr>
                  <w:r>
                    <w:t xml:space="preserve">Notify adoption of building codes in the market. </w:t>
                  </w:r>
                </w:p>
                <w:p w:rsidR="000D5083" w:rsidRDefault="000D5083">
                  <w:pPr>
                    <w:shd w:val="clear" w:color="auto" w:fill="FFFFFF"/>
                    <w:jc w:val="both"/>
                    <w:rPr>
                      <w:rFonts w:ascii="Calibri" w:hAnsi="Calibri" w:cs="Calibri"/>
                      <w:sz w:val="18"/>
                      <w:szCs w:val="18"/>
                    </w:rPr>
                  </w:pPr>
                </w:p>
              </w:tc>
            </w:tr>
            <w:tr w:rsidR="000D5083">
              <w:tc>
                <w:tcPr>
                  <w:tcW w:w="8427" w:type="dxa"/>
                  <w:gridSpan w:val="2"/>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both"/>
                    <w:rPr>
                      <w:rFonts w:ascii="Calibri" w:hAnsi="Calibri" w:cs="Calibri"/>
                      <w:b/>
                      <w:bCs/>
                      <w:sz w:val="18"/>
                      <w:szCs w:val="18"/>
                    </w:rPr>
                  </w:pPr>
                  <w:r>
                    <w:rPr>
                      <w:rFonts w:ascii="Calibri" w:hAnsi="Calibri" w:cs="Calibri"/>
                      <w:b/>
                      <w:bCs/>
                      <w:sz w:val="18"/>
                      <w:szCs w:val="18"/>
                    </w:rPr>
                    <w:t xml:space="preserve">Capacity Building/Awareness Plans </w:t>
                  </w:r>
                </w:p>
                <w:p w:rsidR="000D5083" w:rsidRDefault="000D5083">
                  <w:pPr>
                    <w:pStyle w:val="ListParagraph"/>
                  </w:pPr>
                  <w:r>
                    <w:t>Capacity building for policy making, governance and technical knowledge</w:t>
                  </w:r>
                </w:p>
              </w:tc>
            </w:tr>
            <w:tr w:rsidR="000D5083">
              <w:tc>
                <w:tcPr>
                  <w:tcW w:w="8427" w:type="dxa"/>
                  <w:gridSpan w:val="2"/>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both"/>
                    <w:rPr>
                      <w:rFonts w:ascii="Calibri" w:hAnsi="Calibri" w:cs="Calibri"/>
                      <w:b/>
                      <w:bCs/>
                      <w:sz w:val="18"/>
                      <w:szCs w:val="18"/>
                    </w:rPr>
                  </w:pPr>
                  <w:r>
                    <w:rPr>
                      <w:rFonts w:ascii="Calibri" w:hAnsi="Calibri" w:cs="Calibri"/>
                      <w:b/>
                      <w:bCs/>
                      <w:sz w:val="18"/>
                      <w:szCs w:val="18"/>
                    </w:rPr>
                    <w:t xml:space="preserve">Fiscal Instruments </w:t>
                  </w:r>
                </w:p>
                <w:p w:rsidR="000D5083" w:rsidRDefault="000D5083">
                  <w:pPr>
                    <w:pStyle w:val="ListParagraph"/>
                    <w:spacing w:after="0"/>
                  </w:pPr>
                  <w:r>
                    <w:t xml:space="preserve">Design viable fiscal mechanism for EE in buildings. </w:t>
                  </w:r>
                </w:p>
                <w:p w:rsidR="000D5083" w:rsidRDefault="000D5083">
                  <w:pPr>
                    <w:pStyle w:val="ListParagraph"/>
                    <w:spacing w:after="0"/>
                  </w:pPr>
                  <w:r>
                    <w:t xml:space="preserve">Engage national/international investors and ESCOs. </w:t>
                  </w:r>
                </w:p>
              </w:tc>
            </w:tr>
          </w:tbl>
          <w:p w:rsidR="000D5083" w:rsidRDefault="000D5083">
            <w:pPr>
              <w:shd w:val="clear" w:color="auto" w:fill="FFFFFF"/>
              <w:spacing w:after="144"/>
              <w:jc w:val="both"/>
              <w:rPr>
                <w:rFonts w:ascii="Calibri" w:hAnsi="Calibri" w:cs="Calibri"/>
                <w:sz w:val="20"/>
                <w:szCs w:val="20"/>
                <w:u w:val="single"/>
              </w:rPr>
            </w:pPr>
          </w:p>
          <w:p w:rsidR="000D5083" w:rsidRDefault="000D5083">
            <w:pPr>
              <w:shd w:val="clear" w:color="auto" w:fill="FFFFFF"/>
              <w:spacing w:after="144"/>
              <w:jc w:val="both"/>
              <w:rPr>
                <w:rFonts w:ascii="Calibri" w:hAnsi="Calibri" w:cs="Calibri"/>
                <w:sz w:val="20"/>
                <w:szCs w:val="20"/>
              </w:rPr>
            </w:pPr>
            <w:r>
              <w:rPr>
                <w:rFonts w:ascii="Calibri" w:hAnsi="Calibri" w:cs="Calibri"/>
                <w:sz w:val="20"/>
                <w:szCs w:val="20"/>
                <w:u w:val="single"/>
              </w:rPr>
              <w:t>B.  Promoting energy efficiency in resorts</w:t>
            </w:r>
            <w:r>
              <w:rPr>
                <w:rFonts w:ascii="Calibri" w:hAnsi="Calibri" w:cs="Calibri"/>
                <w:sz w:val="20"/>
                <w:szCs w:val="20"/>
              </w:rPr>
              <w:t xml:space="preserve">– The tourism sector is the biggest energy-using sector in the country. Any intervention in the building sector will also affect and benefit them. However, as they are a separate economic sub-sector, a separate road map for the sub-sector was also drawn up.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427"/>
            </w:tblGrid>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center"/>
                    <w:rPr>
                      <w:rFonts w:ascii="Calibri" w:hAnsi="Calibri" w:cs="Calibri"/>
                      <w:b/>
                      <w:bCs/>
                      <w:sz w:val="18"/>
                      <w:szCs w:val="18"/>
                    </w:rPr>
                  </w:pPr>
                  <w:r>
                    <w:rPr>
                      <w:rFonts w:ascii="Calibri" w:hAnsi="Calibri" w:cs="Calibri"/>
                      <w:b/>
                      <w:bCs/>
                      <w:sz w:val="18"/>
                      <w:szCs w:val="18"/>
                    </w:rPr>
                    <w:t>Road Map for Tourist Resorts</w:t>
                  </w:r>
                </w:p>
              </w:tc>
            </w:tr>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both"/>
                    <w:rPr>
                      <w:rFonts w:ascii="Calibri" w:hAnsi="Calibri" w:cs="Calibri"/>
                      <w:sz w:val="18"/>
                      <w:szCs w:val="18"/>
                    </w:rPr>
                  </w:pPr>
                  <w:r>
                    <w:rPr>
                      <w:rFonts w:ascii="Calibri" w:hAnsi="Calibri" w:cs="Calibri"/>
                      <w:b/>
                      <w:bCs/>
                      <w:sz w:val="18"/>
                      <w:szCs w:val="18"/>
                    </w:rPr>
                    <w:t>Dissemination &amp; Commercialization Strategies</w:t>
                  </w:r>
                </w:p>
                <w:p w:rsidR="000D5083" w:rsidRDefault="000D5083">
                  <w:pPr>
                    <w:pStyle w:val="ListParagraph"/>
                    <w:spacing w:after="0"/>
                  </w:pPr>
                  <w:r>
                    <w:t xml:space="preserve">Mapping different resorts in the region. </w:t>
                  </w:r>
                </w:p>
                <w:p w:rsidR="000D5083" w:rsidRDefault="000D5083">
                  <w:pPr>
                    <w:pStyle w:val="ListParagraph"/>
                    <w:spacing w:after="0"/>
                  </w:pPr>
                  <w:r>
                    <w:t xml:space="preserve">Designing mechanism for inventory of energy consumption equipment/data for different resorts </w:t>
                  </w:r>
                </w:p>
                <w:p w:rsidR="000D5083" w:rsidRDefault="000D5083">
                  <w:pPr>
                    <w:pStyle w:val="ListParagraph"/>
                    <w:spacing w:after="0"/>
                  </w:pPr>
                  <w:r>
                    <w:t xml:space="preserve">Creating mechanism for resorts to report their energy consumption reports/analysis to concerned implementing agencies on annual basis. </w:t>
                  </w:r>
                </w:p>
                <w:p w:rsidR="000D5083" w:rsidRDefault="000D5083">
                  <w:pPr>
                    <w:pStyle w:val="ListParagraph"/>
                    <w:spacing w:after="0"/>
                  </w:pPr>
                  <w:r>
                    <w:t xml:space="preserve">Include energy efficiency plan in addition to EIA and progress reports to be submitted </w:t>
                  </w:r>
                </w:p>
                <w:p w:rsidR="000D5083" w:rsidRDefault="000D5083">
                  <w:pPr>
                    <w:pStyle w:val="ListParagraph"/>
                    <w:spacing w:after="0"/>
                  </w:pPr>
                  <w:r>
                    <w:t xml:space="preserve">Create a pool of International accredit energy audit agencies to undertake audits work for resorts. </w:t>
                  </w:r>
                </w:p>
                <w:p w:rsidR="000D5083" w:rsidRDefault="000D5083">
                  <w:pPr>
                    <w:pStyle w:val="ListParagraph"/>
                    <w:spacing w:after="0"/>
                  </w:pPr>
                  <w:r>
                    <w:t xml:space="preserve">Create monitoring mechanism for assessing the information provided by Resorts. </w:t>
                  </w:r>
                </w:p>
                <w:p w:rsidR="000D5083" w:rsidRDefault="000D5083">
                  <w:pPr>
                    <w:pStyle w:val="ListParagraph"/>
                    <w:spacing w:after="0"/>
                  </w:pPr>
                  <w:r>
                    <w:t>Explore options/mechanisms for energy reduction targets/RE adoption targets for Resorts.</w:t>
                  </w:r>
                </w:p>
              </w:tc>
            </w:tr>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both"/>
                    <w:rPr>
                      <w:rFonts w:ascii="Calibri" w:hAnsi="Calibri" w:cs="Calibri"/>
                      <w:b/>
                      <w:bCs/>
                      <w:sz w:val="18"/>
                      <w:szCs w:val="18"/>
                    </w:rPr>
                  </w:pPr>
                  <w:r>
                    <w:rPr>
                      <w:rFonts w:ascii="Calibri" w:hAnsi="Calibri" w:cs="Calibri"/>
                      <w:b/>
                      <w:bCs/>
                      <w:sz w:val="18"/>
                      <w:szCs w:val="18"/>
                    </w:rPr>
                    <w:t xml:space="preserve">Capacity Building/Awareness Plans </w:t>
                  </w:r>
                </w:p>
                <w:p w:rsidR="000D5083" w:rsidRDefault="000D5083">
                  <w:pPr>
                    <w:pStyle w:val="ListParagraph"/>
                    <w:spacing w:after="0"/>
                  </w:pPr>
                  <w:r>
                    <w:t xml:space="preserve">Capacity building of EPA Maldives and Ministry of Tourism staff </w:t>
                  </w:r>
                </w:p>
                <w:p w:rsidR="000D5083" w:rsidRDefault="000D5083">
                  <w:pPr>
                    <w:pStyle w:val="ListParagraph"/>
                    <w:spacing w:after="0"/>
                  </w:pPr>
                  <w:r>
                    <w:t>Engagement plan for making a stakeholder group involving resorts to make action plan for energy efficiency in resorts.</w:t>
                  </w:r>
                </w:p>
              </w:tc>
            </w:tr>
            <w:tr w:rsidR="000D5083">
              <w:tc>
                <w:tcPr>
                  <w:tcW w:w="8427" w:type="dxa"/>
                  <w:tcBorders>
                    <w:top w:val="single" w:sz="4" w:space="0" w:color="auto"/>
                    <w:left w:val="single" w:sz="4" w:space="0" w:color="auto"/>
                    <w:bottom w:val="single" w:sz="4" w:space="0" w:color="auto"/>
                    <w:right w:val="single" w:sz="4" w:space="0" w:color="auto"/>
                  </w:tcBorders>
                </w:tcPr>
                <w:p w:rsidR="000D5083" w:rsidRDefault="000D5083">
                  <w:pPr>
                    <w:shd w:val="clear" w:color="auto" w:fill="FFFFFF"/>
                    <w:jc w:val="both"/>
                    <w:rPr>
                      <w:rFonts w:ascii="Calibri" w:hAnsi="Calibri" w:cs="Calibri"/>
                      <w:b/>
                      <w:bCs/>
                      <w:sz w:val="18"/>
                      <w:szCs w:val="18"/>
                    </w:rPr>
                  </w:pPr>
                  <w:r>
                    <w:rPr>
                      <w:rFonts w:ascii="Calibri" w:hAnsi="Calibri" w:cs="Calibri"/>
                      <w:b/>
                      <w:bCs/>
                      <w:sz w:val="18"/>
                      <w:szCs w:val="18"/>
                    </w:rPr>
                    <w:t xml:space="preserve">Fiscal Instruments </w:t>
                  </w:r>
                </w:p>
                <w:p w:rsidR="000D5083" w:rsidRDefault="000D5083">
                  <w:pPr>
                    <w:pStyle w:val="ListParagraph"/>
                  </w:pPr>
                  <w:r>
                    <w:t>Explore incentives to promote energy efficiency, their financial loss vis-à-vis energy gain and mechanism/needs to monitor &amp; verify the claims.</w:t>
                  </w:r>
                </w:p>
              </w:tc>
            </w:tr>
          </w:tbl>
          <w:p w:rsidR="000D5083" w:rsidRDefault="000D5083">
            <w:pPr>
              <w:shd w:val="clear" w:color="auto" w:fill="FFFFFF"/>
              <w:tabs>
                <w:tab w:val="num" w:pos="720"/>
              </w:tabs>
              <w:autoSpaceDE w:val="0"/>
              <w:autoSpaceDN w:val="0"/>
              <w:adjustRightInd w:val="0"/>
              <w:spacing w:before="144" w:after="144"/>
              <w:jc w:val="both"/>
              <w:rPr>
                <w:rFonts w:ascii="Calibri" w:hAnsi="Calibri" w:cs="Calibri"/>
                <w:sz w:val="20"/>
                <w:szCs w:val="20"/>
              </w:rPr>
            </w:pPr>
          </w:p>
          <w:p w:rsidR="000D5083" w:rsidRDefault="000D5083">
            <w:pPr>
              <w:shd w:val="clear" w:color="auto" w:fill="FFFFFF"/>
              <w:tabs>
                <w:tab w:val="num" w:pos="720"/>
              </w:tabs>
              <w:autoSpaceDE w:val="0"/>
              <w:autoSpaceDN w:val="0"/>
              <w:adjustRightInd w:val="0"/>
              <w:spacing w:before="144" w:after="144"/>
              <w:jc w:val="both"/>
              <w:rPr>
                <w:rFonts w:ascii="Calibri" w:hAnsi="Calibri" w:cs="Calibri"/>
                <w:sz w:val="20"/>
                <w:szCs w:val="20"/>
                <w:u w:val="single"/>
              </w:rPr>
            </w:pPr>
            <w:r>
              <w:rPr>
                <w:rFonts w:ascii="Calibri" w:hAnsi="Calibri" w:cs="Calibri"/>
                <w:sz w:val="20"/>
                <w:szCs w:val="20"/>
                <w:u w:val="single"/>
              </w:rPr>
              <w:t>V. EXTERNAL SUPPORT AND TECHNICAL ASSISTANCE</w:t>
            </w:r>
          </w:p>
          <w:p w:rsidR="000D5083" w:rsidRDefault="000D5083">
            <w:pPr>
              <w:spacing w:before="144"/>
              <w:jc w:val="both"/>
              <w:rPr>
                <w:rFonts w:ascii="Calibri" w:hAnsi="Calibri" w:cs="Calibri"/>
                <w:sz w:val="20"/>
                <w:szCs w:val="20"/>
              </w:rPr>
            </w:pPr>
            <w:r>
              <w:rPr>
                <w:rFonts w:ascii="Calibri" w:hAnsi="Calibri" w:cs="Calibri"/>
                <w:sz w:val="20"/>
                <w:szCs w:val="20"/>
              </w:rPr>
              <w:t>Aside from the CCTF study, Maldives is receiving the following additional external support and technical assistance. Most of these efforts are in the nascent stages, involving awareness building and initiatives in local capacity building. Together with the results of the CCTF study (sections III and IV above), the following can serve as baseline activities for this proposed GEF project:</w:t>
            </w:r>
          </w:p>
          <w:p w:rsidR="000D5083" w:rsidRDefault="000D5083">
            <w:pPr>
              <w:pStyle w:val="ListParagraph"/>
            </w:pPr>
            <w:r>
              <w:t>UNOPS Maldives, together with UNDP, was approached by GoM (Government of Maldives) after the country declared its intention to achieve carbon neutrality by 2020. The two agencies were asked to draft a project concept on how best to implement an Energy Efficient Building Code for the Maldives, which is to complement the existing 2008 National Building Code that was formulated with UNDP’s assistance years back. (UNOPS Maldives 2011).</w:t>
            </w:r>
          </w:p>
          <w:p w:rsidR="000D5083" w:rsidRDefault="000D5083">
            <w:pPr>
              <w:pStyle w:val="ListParagraph"/>
            </w:pPr>
            <w:r>
              <w:t>The HCFC Phase-out Management Project implemented by the Ministry under the Montreal Protocol, energy efficient technologies; standards/labeling programs will be carried out. Freezing and Phasing out HCFCs by 2020 and implementing a framework of EE and standard labeling program for refrigeration/AC related equipment will be undertaken.</w:t>
            </w:r>
          </w:p>
          <w:p w:rsidR="000D5083" w:rsidRDefault="000D5083">
            <w:pPr>
              <w:pStyle w:val="ListParagraph"/>
            </w:pPr>
            <w:r>
              <w:t xml:space="preserve">Demonstration of EE technologies in buildings through a project funded jointly by the governments of Maldives and India; the ‘Green Building project’. The project aims to establish a model building which emits zero emissions, by use of RE, EE and recycled materials and to show that it can be done practically in a place like Maldives. </w:t>
            </w:r>
          </w:p>
          <w:p w:rsidR="000D5083" w:rsidRDefault="000D5083">
            <w:pPr>
              <w:pStyle w:val="ListParagraph"/>
            </w:pPr>
            <w:r>
              <w:t>The JICA Project for Clean Energy Promotion in Male ’($11m). The project aim to promote solar PV grid connected systems and technical capacity building in solar PV technology. The focus is on building integrated PV systems but buildings need to be retrofitted first to be efficient, not only to match electricity supplied by BIPV, but make possible excess production for export to the grid.</w:t>
            </w:r>
          </w:p>
          <w:p w:rsidR="000D5083" w:rsidRDefault="000D5083">
            <w:pPr>
              <w:pStyle w:val="ListParagraph"/>
            </w:pPr>
            <w:r>
              <w:t>The DANIDA Green Facility ($0.2m). This aims to build capacity and develop CDM projects in Maldives; they will include EE buildings projects.</w:t>
            </w:r>
          </w:p>
          <w:p w:rsidR="000D5083" w:rsidRDefault="000D5083">
            <w:pPr>
              <w:pStyle w:val="ListParagraph"/>
            </w:pPr>
          </w:p>
        </w:tc>
      </w:tr>
    </w:tbl>
    <w:p w:rsidR="000D5083" w:rsidRDefault="000D5083">
      <w:pPr>
        <w:pStyle w:val="Footer"/>
        <w:tabs>
          <w:tab w:val="clear" w:pos="4320"/>
          <w:tab w:val="clear" w:pos="8640"/>
        </w:tabs>
        <w:spacing w:after="80"/>
        <w:ind w:left="810" w:hanging="450"/>
        <w:jc w:val="both"/>
        <w:rPr>
          <w:sz w:val="22"/>
          <w:szCs w:val="22"/>
        </w:rPr>
      </w:pPr>
      <w:r>
        <w:rPr>
          <w:sz w:val="22"/>
          <w:szCs w:val="22"/>
        </w:rPr>
        <w:t>B.2</w:t>
      </w:r>
      <w:hyperlink r:id="rId15" w:history="1">
        <w:r>
          <w:rPr>
            <w:rStyle w:val="Hyperlink"/>
            <w:sz w:val="22"/>
            <w:szCs w:val="22"/>
          </w:rPr>
          <w:t>.Incremental</w:t>
        </w:r>
      </w:hyperlink>
      <w:r>
        <w:rPr>
          <w:sz w:val="22"/>
          <w:szCs w:val="22"/>
        </w:rPr>
        <w:t xml:space="preserve"> /</w:t>
      </w:r>
      <w:hyperlink r:id="rId16" w:history="1">
        <w:r>
          <w:rPr>
            <w:rStyle w:val="Hyperlink"/>
            <w:sz w:val="22"/>
            <w:szCs w:val="22"/>
          </w:rPr>
          <w:t>Additional cost reasoning</w:t>
        </w:r>
      </w:hyperlink>
      <w:r>
        <w:rPr>
          <w:sz w:val="22"/>
          <w:szCs w:val="22"/>
        </w:rPr>
        <w:t xml:space="preserve">:  describe the incremental (GEF Trust Fund) or additional (LDCF/SCCF) activities requested for GEF/LDCF/SCCF financing and the associated </w:t>
      </w:r>
      <w:hyperlink r:id="rId17" w:history="1">
        <w:r>
          <w:rPr>
            <w:color w:val="0000FF"/>
            <w:u w:val="single"/>
          </w:rPr>
          <w:t>global environmental benefits</w:t>
        </w:r>
      </w:hyperlink>
      <w:r>
        <w:rPr>
          <w:color w:val="000000"/>
        </w:rPr>
        <w:t xml:space="preserve">  (GEF Trust Fund) or associated adaptation benefits (LDCF/SCCF) to be delivered by the </w:t>
      </w:r>
      <w:r>
        <w:rPr>
          <w:color w:val="000000"/>
          <w:sz w:val="22"/>
          <w:szCs w:val="22"/>
        </w:rPr>
        <w:t>project</w:t>
      </w:r>
      <w:r>
        <w:rPr>
          <w:color w:val="000000"/>
        </w:rPr>
        <w:t xml:space="preserve">: </w:t>
      </w:r>
    </w:p>
    <w:tbl>
      <w:tblPr>
        <w:tblW w:w="13339" w:type="dxa"/>
        <w:tblInd w:w="-106" w:type="dxa"/>
        <w:tblLook w:val="00A0"/>
      </w:tblPr>
      <w:tblGrid>
        <w:gridCol w:w="199"/>
        <w:gridCol w:w="1900"/>
        <w:gridCol w:w="1480"/>
        <w:gridCol w:w="1440"/>
        <w:gridCol w:w="1460"/>
        <w:gridCol w:w="1080"/>
        <w:gridCol w:w="1460"/>
        <w:gridCol w:w="569"/>
        <w:gridCol w:w="511"/>
        <w:gridCol w:w="1080"/>
        <w:gridCol w:w="1080"/>
        <w:gridCol w:w="1080"/>
      </w:tblGrid>
      <w:tr w:rsidR="000D5083" w:rsidTr="00C30B1D">
        <w:trPr>
          <w:gridAfter w:val="4"/>
          <w:wAfter w:w="3751" w:type="dxa"/>
        </w:trPr>
        <w:tc>
          <w:tcPr>
            <w:tcW w:w="9588" w:type="dxa"/>
            <w:gridSpan w:val="8"/>
          </w:tcPr>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I. PROJECT GOAL</w:t>
            </w:r>
            <w:r>
              <w:rPr>
                <w:rFonts w:ascii="Calibri" w:hAnsi="Calibri" w:cs="Calibri"/>
                <w:noProof/>
                <w:sz w:val="20"/>
                <w:szCs w:val="20"/>
              </w:rPr>
              <w:t xml:space="preserve">: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rPr>
              <w:t xml:space="preserve">This GEF project will aim to contribute to (1) the transformation of markets for energy efficient technologies in buildings and the built environment, and (2) the promotion of investments in them, particularly through private-public partnerships.  The project will not only target energy efficient technologies, but will also promote emerging low carbon energy technologies for the building sector. </w:t>
            </w:r>
          </w:p>
          <w:p w:rsidR="000D5083" w:rsidRDefault="000D5083">
            <w:pPr>
              <w:shd w:val="clear" w:color="auto" w:fill="FFFFFF"/>
              <w:spacing w:after="144"/>
              <w:jc w:val="both"/>
              <w:rPr>
                <w:rFonts w:ascii="Calibri" w:hAnsi="Calibri" w:cs="Calibri"/>
                <w:noProof/>
                <w:sz w:val="20"/>
                <w:szCs w:val="20"/>
              </w:rPr>
            </w:pPr>
            <w:r>
              <w:rPr>
                <w:rFonts w:ascii="Calibri" w:hAnsi="Calibri" w:cs="Calibri"/>
                <w:smallCaps/>
                <w:noProof/>
                <w:sz w:val="20"/>
                <w:szCs w:val="20"/>
                <w:u w:val="single"/>
              </w:rPr>
              <w:t>Project Rationale</w:t>
            </w:r>
            <w:r>
              <w:rPr>
                <w:rFonts w:ascii="Calibri" w:hAnsi="Calibri" w:cs="Calibri"/>
                <w:noProof/>
                <w:sz w:val="20"/>
                <w:szCs w:val="20"/>
              </w:rPr>
              <w:t xml:space="preserve">: The EE Roadmaps defined for the Maldives are quite comprehensive as they addressed most the elements required in achieving the transformation of markets for EE efficient technologies for the building sector. General strategies and action plans have been defined to overcome the barriers  to these transformation (also previously discussed) have been developed.  The roadmaps and the action plans however needs to be defined in more detail. Assessments (technical, financial, economic, environmental, social, and market/investment potential) will have to be fined tuned.  Market development and investment strategies have to be initiated or current ones strengthened. The Maldives has recognized these and as discussed above, has initiated activities, mostly with external assistance.  This GEF project aims to to strengthen these initiatives, particularly the energy efficiency roadmaps for the building sector, that have already been put into motion. </w:t>
            </w:r>
          </w:p>
          <w:p w:rsidR="000D5083" w:rsidRDefault="000D5083">
            <w:pPr>
              <w:shd w:val="clear" w:color="auto" w:fill="FFFFFF"/>
              <w:spacing w:after="144"/>
              <w:jc w:val="both"/>
              <w:rPr>
                <w:rFonts w:ascii="Calibri" w:hAnsi="Calibri" w:cs="Calibri"/>
                <w:noProof/>
                <w:sz w:val="20"/>
                <w:szCs w:val="20"/>
                <w:u w:val="single"/>
              </w:rPr>
            </w:pPr>
            <w:r>
              <w:rPr>
                <w:rFonts w:ascii="Calibri" w:hAnsi="Calibri" w:cs="Calibri"/>
                <w:caps/>
                <w:noProof/>
                <w:sz w:val="20"/>
                <w:szCs w:val="20"/>
                <w:u w:val="single"/>
              </w:rPr>
              <w:t>II. PROJECT StRATEGY</w:t>
            </w:r>
            <w:r>
              <w:rPr>
                <w:rFonts w:ascii="Calibri" w:hAnsi="Calibri" w:cs="Calibri"/>
                <w:noProof/>
                <w:sz w:val="20"/>
                <w:szCs w:val="20"/>
              </w:rPr>
              <w:t>:</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Holistic Approach</w:t>
            </w:r>
            <w:r>
              <w:rPr>
                <w:rFonts w:ascii="Calibri" w:hAnsi="Calibri" w:cs="Calibri"/>
                <w:noProof/>
                <w:sz w:val="20"/>
                <w:szCs w:val="20"/>
              </w:rPr>
              <w:t xml:space="preserve">: The project will adopt the approach and strategies discussed in the WBCSD (World Business Council for Sustainable Development) 2011 report “Energy Efficient Buildings: Transforming the Markets”. The WBCSC Report states that: “A mix of measures tailored to specific geographies and building subsectors, including increased energy awareness globally, is required for a complete solution. Additional approaches include building energy codes, labeling and reporting mechanisms, appropriate energy prices and carbon costs, investment subsidies, increased and trained workforce capacity, and evolving energy-efficient designs and technologies that use passive and active approaches. Combined, these measures provide the changes needed to reduce energy consumption in buildings, increase energy awareness globally, and influence behavior change and the choices of consumers and investors. However, these changes cannot and will not come through market forces alone.”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rPr>
              <w:t xml:space="preserve">Energy-efficiency in buildings needs to begin at the neighborhood or city planning stage and be integrated throughout the value chain. The holistic approach needs to consider energy use over the whole lifecycle of the building. Energy efficiency can be hampered by building life spans becoming shorter, which also increases the importance of embedded energy. Holistic design combines different components of the building in an integrated approach, rather than focusing on individual elements. Key aspects of energy-efficient design are shade, orientation, ventilation, the building “envelope” Substantial energy savings can be made in each of these fields, and the sum can be greater than the parts with integrated design. Design should include on-site energy generation from renewable and otherwise wasted resources.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Market and Business Considerations</w:t>
            </w:r>
            <w:r>
              <w:rPr>
                <w:rFonts w:ascii="Calibri" w:hAnsi="Calibri" w:cs="Calibri"/>
                <w:noProof/>
                <w:sz w:val="20"/>
                <w:szCs w:val="20"/>
              </w:rPr>
              <w:t xml:space="preserve">: The WBCSD report identified the following three business levers, which have to be supported by an appropriate policy framework, as requirements in the market transformation in the building sector:  </w:t>
            </w:r>
          </w:p>
          <w:p w:rsidR="000D5083" w:rsidRDefault="000D5083">
            <w:pPr>
              <w:shd w:val="clear" w:color="auto" w:fill="FFFFFF"/>
              <w:spacing w:after="144"/>
              <w:jc w:val="both"/>
              <w:rPr>
                <w:rFonts w:ascii="Calibri" w:hAnsi="Calibri" w:cs="Calibri"/>
                <w:noProof/>
                <w:sz w:val="20"/>
                <w:szCs w:val="20"/>
                <w:lang w:val="en-GB"/>
              </w:rPr>
            </w:pPr>
            <w:r>
              <w:rPr>
                <w:rFonts w:ascii="Calibri" w:hAnsi="Calibri" w:cs="Calibri"/>
                <w:noProof/>
                <w:sz w:val="20"/>
                <w:szCs w:val="20"/>
                <w:lang w:val="en-GB"/>
              </w:rPr>
              <w:t>The right financial mechanisms and relationships to make energy more valued by those involved in the development, operation and use of buildings, and to stimulate investment in energy efficiency.</w:t>
            </w:r>
          </w:p>
          <w:p w:rsidR="000D5083" w:rsidRDefault="000D5083">
            <w:pPr>
              <w:shd w:val="clear" w:color="auto" w:fill="FFFFFF"/>
              <w:spacing w:after="144"/>
              <w:jc w:val="both"/>
              <w:rPr>
                <w:rFonts w:ascii="Calibri" w:hAnsi="Calibri" w:cs="Calibri"/>
                <w:noProof/>
                <w:sz w:val="20"/>
                <w:szCs w:val="20"/>
                <w:lang w:val="en-GB"/>
              </w:rPr>
            </w:pPr>
            <w:r>
              <w:rPr>
                <w:rFonts w:ascii="Calibri" w:hAnsi="Calibri" w:cs="Calibri"/>
                <w:noProof/>
                <w:sz w:val="20"/>
                <w:szCs w:val="20"/>
                <w:lang w:val="en-GB"/>
              </w:rPr>
              <w:t>A holistic design approach, from city level to individual buildings, to encourage interdependence and shared responsibility among the many players in the building value chain. This relates to integrated design, incentives that stimulate whole building action rather than encouraging changes only to individual elements and using advanced technology as part of an integrated solution to energy reduction.</w:t>
            </w:r>
          </w:p>
          <w:p w:rsidR="000D5083" w:rsidRDefault="000D5083">
            <w:pPr>
              <w:shd w:val="clear" w:color="auto" w:fill="FFFFFF"/>
              <w:spacing w:after="144"/>
              <w:jc w:val="both"/>
              <w:rPr>
                <w:rFonts w:ascii="Calibri" w:hAnsi="Calibri" w:cs="Calibri"/>
                <w:noProof/>
                <w:sz w:val="20"/>
                <w:szCs w:val="20"/>
                <w:lang w:val="en-GB"/>
              </w:rPr>
            </w:pPr>
            <w:r>
              <w:rPr>
                <w:rFonts w:ascii="Calibri" w:hAnsi="Calibri" w:cs="Calibri"/>
                <w:noProof/>
                <w:sz w:val="20"/>
                <w:szCs w:val="20"/>
                <w:lang w:val="en-GB"/>
              </w:rPr>
              <w:t>Behavioural changes to achieve action on energy efficiency by building professionals and building users. A variety of approaches are needed to motivate people, including mobilization campaigns, clear incentives, training and education.</w:t>
            </w:r>
          </w:p>
          <w:p w:rsidR="000D5083" w:rsidRDefault="000D5083">
            <w:pPr>
              <w:shd w:val="clear" w:color="auto" w:fill="FFFFFF"/>
              <w:jc w:val="both"/>
              <w:rPr>
                <w:rFonts w:ascii="Calibri" w:hAnsi="Calibri" w:cs="Calibri"/>
                <w:noProof/>
                <w:sz w:val="20"/>
                <w:szCs w:val="20"/>
              </w:rPr>
            </w:pPr>
            <w:r>
              <w:rPr>
                <w:rFonts w:ascii="Calibri" w:hAnsi="Calibri" w:cs="Calibri"/>
                <w:noProof/>
                <w:sz w:val="20"/>
                <w:szCs w:val="20"/>
                <w:u w:val="single"/>
              </w:rPr>
              <w:t>Contribute to the Zero Net Energy Buildings Approach</w:t>
            </w:r>
            <w:r>
              <w:rPr>
                <w:rFonts w:ascii="Calibri" w:hAnsi="Calibri" w:cs="Calibri"/>
                <w:noProof/>
                <w:sz w:val="20"/>
                <w:szCs w:val="20"/>
              </w:rPr>
              <w:t xml:space="preserve">: The project will aim to contribute to the WBCSD world vision in which buildings consumes zero net energy. This refers to the building industry as a whole, over a seasonal cycle. It is ambitious, but is necessary to achieve the huge progress that is urgently needed to deal with buildings’ contribution to climate change and energy security. The vision is that, ultimately, </w:t>
            </w:r>
            <w:r>
              <w:rPr>
                <w:rFonts w:ascii="Calibri" w:hAnsi="Calibri" w:cs="Calibri"/>
                <w:i/>
                <w:iCs/>
                <w:noProof/>
                <w:sz w:val="20"/>
                <w:szCs w:val="20"/>
              </w:rPr>
              <w:t>the building sector as a whole would generate as much energy as it uses</w:t>
            </w:r>
            <w:r>
              <w:rPr>
                <w:rFonts w:ascii="Calibri" w:hAnsi="Calibri" w:cs="Calibri"/>
                <w:noProof/>
                <w:sz w:val="20"/>
                <w:szCs w:val="20"/>
              </w:rPr>
              <w:t>. Individual buildings may be net energy consumers, but others would be net exporters. The whole sector may consume net energy at certain times, but taken as a whole over a full year there would be zero net consumption. There are three key elements to achieving zero net energy:</w:t>
            </w:r>
          </w:p>
          <w:p w:rsidR="000D5083" w:rsidRDefault="000D5083">
            <w:pPr>
              <w:numPr>
                <w:ilvl w:val="0"/>
                <w:numId w:val="28"/>
              </w:numPr>
              <w:shd w:val="clear" w:color="auto" w:fill="FFFFFF"/>
              <w:jc w:val="both"/>
              <w:rPr>
                <w:rFonts w:ascii="Calibri" w:hAnsi="Calibri" w:cs="Calibri"/>
                <w:noProof/>
                <w:sz w:val="20"/>
                <w:szCs w:val="20"/>
              </w:rPr>
            </w:pPr>
            <w:r>
              <w:rPr>
                <w:rFonts w:ascii="Calibri" w:hAnsi="Calibri" w:cs="Calibri"/>
                <w:noProof/>
                <w:sz w:val="20"/>
                <w:szCs w:val="20"/>
              </w:rPr>
              <w:t>Use less energy</w:t>
            </w:r>
          </w:p>
          <w:p w:rsidR="000D5083" w:rsidRDefault="000D5083">
            <w:pPr>
              <w:numPr>
                <w:ilvl w:val="0"/>
                <w:numId w:val="28"/>
              </w:numPr>
              <w:shd w:val="clear" w:color="auto" w:fill="FFFFFF"/>
              <w:jc w:val="both"/>
              <w:rPr>
                <w:rFonts w:ascii="Calibri" w:hAnsi="Calibri" w:cs="Calibri"/>
                <w:noProof/>
                <w:sz w:val="20"/>
                <w:szCs w:val="20"/>
              </w:rPr>
            </w:pPr>
            <w:r>
              <w:rPr>
                <w:rFonts w:ascii="Calibri" w:hAnsi="Calibri" w:cs="Calibri"/>
                <w:noProof/>
                <w:sz w:val="20"/>
                <w:szCs w:val="20"/>
              </w:rPr>
              <w:t>Make more energy locally</w:t>
            </w:r>
          </w:p>
          <w:p w:rsidR="000D5083" w:rsidRDefault="000D5083">
            <w:pPr>
              <w:numPr>
                <w:ilvl w:val="0"/>
                <w:numId w:val="28"/>
              </w:numPr>
              <w:shd w:val="clear" w:color="auto" w:fill="FFFFFF"/>
              <w:spacing w:after="144"/>
              <w:jc w:val="both"/>
              <w:rPr>
                <w:rFonts w:ascii="Calibri" w:hAnsi="Calibri" w:cs="Calibri"/>
                <w:noProof/>
                <w:sz w:val="20"/>
                <w:szCs w:val="20"/>
              </w:rPr>
            </w:pPr>
            <w:r>
              <w:rPr>
                <w:rFonts w:ascii="Calibri" w:hAnsi="Calibri" w:cs="Calibri"/>
                <w:noProof/>
                <w:sz w:val="20"/>
                <w:szCs w:val="20"/>
              </w:rPr>
              <w:t>Share surplus energy (thru an intelligent grid)</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rPr>
              <w:t xml:space="preserve">The most significant gains in the medium term are likely to come from using less energy. This is a long-term vision. But already there is evidence that dramatic reductions in energy efficiency can already be achieved. The project will contribute to the immediate goal of vastly improving the energy efficiency of buildings, as the first step towards the “Zero Net Energy Buildings” vision.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Promote Low Energy Tropical Architecture (LETA)</w:t>
            </w:r>
            <w:r>
              <w:rPr>
                <w:rFonts w:ascii="Calibri" w:hAnsi="Calibri" w:cs="Calibri"/>
                <w:noProof/>
                <w:sz w:val="20"/>
                <w:szCs w:val="20"/>
              </w:rPr>
              <w:t>: The Maldives is a tropical archipelago. Traditional tropical architecture found in such climatic condition was open to breezes and had thatched roofs that insulate. In the past and on the outer islands still, there are low internal heat gains from appliances. This contrasts with glazed offices and modern appliances, computers and indoor occupancy rates as well as occupant lifestyle changes that cause higher air conditioning loads. Good strategies are to have verandas or roof extensions on East and West or window shading devices to block the sun. Buildings that have good wind exposure should be openable to take advantage of breezes. The innovation with most potential is to use combined power and cooling, sea water cooling or compressed air energy storage. Systems approach will be taken as opposed to incremental treatment of individual loads.</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lang w:val="en-GB"/>
              </w:rPr>
              <w:t>LETA</w:t>
            </w:r>
            <w:r>
              <w:rPr>
                <w:rFonts w:ascii="Calibri" w:hAnsi="Calibri" w:cs="Calibri"/>
                <w:noProof/>
                <w:sz w:val="20"/>
                <w:szCs w:val="20"/>
              </w:rPr>
              <w:t xml:space="preserve"> is an integrated approach that combines passive design and active technology solutions. Passive design embodies solutions, which use natural elements (such as air-flow and sunlight) to limit the effect of external conditions on the internal environment, and therefore reduce the need for mechanical cooling and ventilation, and lighting. Elements of passive design include; but are not limited to, orientation, insulation, passive solar heating and cooling, shading, glazing, and thermal mass. Active technologies on the other hand, include newer technologies and state-of-the-art building management systems to reduce the energy load of buildings. Such technologies include; solar screens, lighting scoops, environmental flues, radiant cooling units, photovoltaic cells, and wind turbines. These principles are not new to tropical countries. Stilt houses such as those traditionally built in tropical regions employed natural ventilation and shading systems, which were well adapted to hot and humid climates. They also offer protection from flooding. This traditional architecture has however, been replaced by standard approaches duplicated from other climatic regions. This project will give due attention to re-introduction of more innovative, modern, cost efficient and convenient LETA.</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Integrate Efficient Outdoor Lighting</w:t>
            </w:r>
            <w:r>
              <w:rPr>
                <w:rFonts w:ascii="Calibri" w:hAnsi="Calibri" w:cs="Calibri"/>
                <w:noProof/>
                <w:sz w:val="20"/>
                <w:szCs w:val="20"/>
              </w:rPr>
              <w:t xml:space="preserve">: To complement the efficiency gains of the “built environment” or buildings, EE interventions will also be promoted in the surrounding or outdoor areas to add further to the energy efficiency gains, savings in energy costs and reduction of GHG emissions. Under this project, this will be focused on replacing inefficient perimeter, street and other public lighting systems. This intervention will expand make the market for energy efficient technologies and services more robust, specifically for lighting.    </w:t>
            </w:r>
          </w:p>
          <w:p w:rsidR="000D5083" w:rsidRDefault="000D5083">
            <w:pPr>
              <w:shd w:val="clear" w:color="auto" w:fill="FFFFFF"/>
              <w:spacing w:after="144"/>
              <w:jc w:val="both"/>
              <w:rPr>
                <w:rFonts w:ascii="Calibri" w:hAnsi="Calibri" w:cs="Calibri"/>
                <w:noProof/>
                <w:sz w:val="20"/>
                <w:szCs w:val="20"/>
              </w:rPr>
            </w:pPr>
            <w:r>
              <w:rPr>
                <w:rFonts w:ascii="Calibri" w:hAnsi="Calibri" w:cs="Calibri"/>
                <w:caps/>
                <w:noProof/>
                <w:sz w:val="20"/>
                <w:szCs w:val="20"/>
                <w:u w:val="single"/>
              </w:rPr>
              <w:t>iii. Project Objective</w:t>
            </w:r>
            <w:r>
              <w:rPr>
                <w:rFonts w:ascii="Calibri" w:hAnsi="Calibri" w:cs="Calibri"/>
                <w:noProof/>
                <w:sz w:val="20"/>
                <w:szCs w:val="20"/>
              </w:rPr>
              <w:t xml:space="preserve">: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rPr>
              <w:t xml:space="preserve">The project will strengthen the energy efficiency road maps defined for the building sector and promote expansion of investment in EE technologies/design in the housing, public and tourism building sub-sectors. </w:t>
            </w:r>
          </w:p>
          <w:p w:rsidR="000D5083" w:rsidRDefault="000D5083">
            <w:pPr>
              <w:shd w:val="clear" w:color="auto" w:fill="FFFFFF"/>
              <w:spacing w:after="144"/>
              <w:jc w:val="both"/>
              <w:rPr>
                <w:rFonts w:ascii="Calibri" w:hAnsi="Calibri" w:cs="Calibri"/>
                <w:noProof/>
                <w:sz w:val="20"/>
                <w:szCs w:val="20"/>
              </w:rPr>
            </w:pPr>
            <w:r>
              <w:rPr>
                <w:rFonts w:ascii="Calibri" w:hAnsi="Calibri" w:cs="Calibri"/>
                <w:noProof/>
                <w:sz w:val="20"/>
                <w:szCs w:val="20"/>
                <w:u w:val="single"/>
              </w:rPr>
              <w:t>IV. PROJECT COMPONENTS</w:t>
            </w:r>
            <w:r>
              <w:rPr>
                <w:rFonts w:ascii="Calibri" w:hAnsi="Calibri" w:cs="Calibri"/>
                <w:noProof/>
                <w:sz w:val="20"/>
                <w:szCs w:val="20"/>
              </w:rPr>
              <w:t>:</w:t>
            </w:r>
          </w:p>
          <w:p w:rsidR="000D5083" w:rsidRPr="0086150B" w:rsidRDefault="000D5083">
            <w:pPr>
              <w:shd w:val="clear" w:color="auto" w:fill="FFFFFF"/>
              <w:spacing w:after="144"/>
              <w:jc w:val="both"/>
              <w:rPr>
                <w:rFonts w:ascii="Calibri" w:hAnsi="Calibri" w:cs="Calibri"/>
                <w:noProof/>
                <w:sz w:val="20"/>
                <w:szCs w:val="20"/>
                <w:u w:val="single"/>
              </w:rPr>
            </w:pPr>
            <w:r w:rsidRPr="0086150B">
              <w:rPr>
                <w:rFonts w:ascii="Calibri" w:hAnsi="Calibri" w:cs="Calibri"/>
                <w:noProof/>
                <w:sz w:val="20"/>
                <w:szCs w:val="20"/>
                <w:u w:val="single"/>
              </w:rPr>
              <w:t>Component 1:  Establish an assessment and monitoring system for the Energy Efficiency Road Maps for the  building sector (focused on small island tropical environments)</w:t>
            </w:r>
          </w:p>
          <w:p w:rsidR="000D5083" w:rsidRPr="0086150B" w:rsidRDefault="000D5083">
            <w:pPr>
              <w:shd w:val="clear" w:color="auto" w:fill="FFFFFF"/>
              <w:jc w:val="both"/>
              <w:rPr>
                <w:rFonts w:ascii="Calibri" w:hAnsi="Calibri" w:cs="Calibri"/>
                <w:noProof/>
                <w:sz w:val="20"/>
                <w:szCs w:val="20"/>
              </w:rPr>
            </w:pPr>
            <w:r w:rsidRPr="0086150B">
              <w:rPr>
                <w:rFonts w:ascii="Calibri" w:hAnsi="Calibri" w:cs="Calibri"/>
                <w:noProof/>
                <w:sz w:val="20"/>
                <w:szCs w:val="20"/>
              </w:rPr>
              <w:t>This component will review, update and firm-up the road maps (discussed above), which cover residential, government and tourism-oriented buildings, that has been adopted by the country</w:t>
            </w:r>
            <w:r w:rsidR="0086150B" w:rsidRPr="0086150B">
              <w:rPr>
                <w:rFonts w:ascii="Calibri" w:hAnsi="Calibri" w:cs="Calibri"/>
                <w:noProof/>
                <w:sz w:val="20"/>
                <w:szCs w:val="20"/>
              </w:rPr>
              <w:t>; , with end objective of establishing capacity for continual improvements</w:t>
            </w:r>
            <w:r w:rsidRPr="0086150B">
              <w:rPr>
                <w:rFonts w:ascii="Calibri" w:hAnsi="Calibri" w:cs="Calibri"/>
                <w:noProof/>
                <w:sz w:val="20"/>
                <w:szCs w:val="20"/>
              </w:rPr>
              <w:t>. The interventions  will also include energy use outside the buildings, but are part of the services provided the buildings. Both existing and to-be-constructed buildings will be covered. The main focus will be social housing buildings, but will also include buildings for public service and commercial activities. The opportunities for energy efficiency and de-carbonizing energy use in these types of buildings will be determined. A baseline projection and monitoring system will be established to track and provide feedback on the progress of project activities and interventions. The expected outputs are:</w:t>
            </w:r>
          </w:p>
          <w:p w:rsidR="000D5083" w:rsidRPr="0086150B" w:rsidRDefault="000D5083">
            <w:pPr>
              <w:numPr>
                <w:ilvl w:val="0"/>
                <w:numId w:val="22"/>
              </w:numPr>
              <w:shd w:val="clear" w:color="auto" w:fill="FFFFFF"/>
              <w:jc w:val="both"/>
              <w:rPr>
                <w:rFonts w:ascii="Calibri" w:hAnsi="Calibri" w:cs="Calibri"/>
                <w:noProof/>
                <w:sz w:val="20"/>
                <w:szCs w:val="20"/>
                <w:lang w:val="en-GB"/>
              </w:rPr>
            </w:pPr>
            <w:r w:rsidRPr="0086150B">
              <w:rPr>
                <w:rFonts w:ascii="Calibri" w:hAnsi="Calibri" w:cs="Calibri"/>
                <w:noProof/>
                <w:sz w:val="20"/>
                <w:szCs w:val="20"/>
                <w:lang w:val="en-GB"/>
              </w:rPr>
              <w:t>Building energy audit reports</w:t>
            </w:r>
          </w:p>
          <w:p w:rsidR="000D5083" w:rsidRPr="0086150B" w:rsidRDefault="000D5083">
            <w:pPr>
              <w:numPr>
                <w:ilvl w:val="0"/>
                <w:numId w:val="22"/>
              </w:numPr>
              <w:shd w:val="clear" w:color="auto" w:fill="FFFFFF"/>
              <w:jc w:val="both"/>
              <w:rPr>
                <w:rFonts w:ascii="Calibri" w:hAnsi="Calibri" w:cs="Calibri"/>
                <w:noProof/>
                <w:sz w:val="20"/>
                <w:szCs w:val="20"/>
                <w:lang w:val="en-GB"/>
              </w:rPr>
            </w:pPr>
            <w:r w:rsidRPr="0086150B">
              <w:rPr>
                <w:rFonts w:ascii="Calibri" w:hAnsi="Calibri" w:cs="Calibri"/>
                <w:noProof/>
                <w:sz w:val="20"/>
                <w:szCs w:val="20"/>
                <w:lang w:val="en-GB"/>
              </w:rPr>
              <w:t>Energy consumption benchmarks for EE buildings</w:t>
            </w:r>
          </w:p>
          <w:p w:rsidR="000D5083" w:rsidRPr="0086150B" w:rsidRDefault="000D5083">
            <w:pPr>
              <w:numPr>
                <w:ilvl w:val="0"/>
                <w:numId w:val="22"/>
              </w:numPr>
              <w:shd w:val="clear" w:color="auto" w:fill="FFFFFF"/>
              <w:jc w:val="both"/>
              <w:rPr>
                <w:rFonts w:ascii="Calibri" w:hAnsi="Calibri" w:cs="Calibri"/>
                <w:noProof/>
                <w:sz w:val="20"/>
                <w:szCs w:val="20"/>
                <w:lang w:val="en-GB"/>
              </w:rPr>
            </w:pPr>
            <w:r w:rsidRPr="0086150B">
              <w:rPr>
                <w:rFonts w:ascii="Calibri" w:hAnsi="Calibri" w:cs="Calibri"/>
                <w:noProof/>
                <w:sz w:val="20"/>
                <w:szCs w:val="20"/>
                <w:lang w:val="en-GB"/>
              </w:rPr>
              <w:t>Statistics on potential savings from applications of EE technologies (lighting, cooling &amp; air-conditioning, insulation, housekeeping for energy savings) in buildings</w:t>
            </w:r>
          </w:p>
          <w:p w:rsidR="000D5083" w:rsidRPr="0086150B" w:rsidRDefault="000D5083">
            <w:pPr>
              <w:numPr>
                <w:ilvl w:val="0"/>
                <w:numId w:val="22"/>
              </w:numPr>
              <w:shd w:val="clear" w:color="auto" w:fill="FFFFFF"/>
              <w:jc w:val="both"/>
              <w:rPr>
                <w:rFonts w:ascii="Calibri" w:hAnsi="Calibri" w:cs="Calibri"/>
                <w:noProof/>
                <w:sz w:val="20"/>
                <w:szCs w:val="20"/>
                <w:lang w:val="en-GB"/>
              </w:rPr>
            </w:pPr>
            <w:r w:rsidRPr="0086150B">
              <w:rPr>
                <w:rFonts w:ascii="Calibri" w:hAnsi="Calibri" w:cs="Calibri"/>
                <w:noProof/>
                <w:sz w:val="20"/>
                <w:szCs w:val="20"/>
                <w:lang w:val="en-GB"/>
              </w:rPr>
              <w:t xml:space="preserve">Statistics on potential savings for energy efficient street and outdoor lighting, focusing on most advanced commercial technologies (such as LED street/ outdoor lighting) &amp; their potential for GHG emission reduction </w:t>
            </w:r>
          </w:p>
          <w:p w:rsidR="000D5083" w:rsidRPr="0086150B" w:rsidRDefault="000D5083">
            <w:pPr>
              <w:numPr>
                <w:ilvl w:val="0"/>
                <w:numId w:val="22"/>
              </w:numPr>
              <w:shd w:val="clear" w:color="auto" w:fill="FFFFFF"/>
              <w:spacing w:after="144"/>
              <w:ind w:left="357" w:hanging="357"/>
              <w:jc w:val="both"/>
              <w:rPr>
                <w:rFonts w:ascii="Calibri" w:hAnsi="Calibri" w:cs="Calibri"/>
                <w:noProof/>
                <w:sz w:val="20"/>
                <w:szCs w:val="20"/>
                <w:lang w:val="en-GB"/>
              </w:rPr>
            </w:pPr>
            <w:r w:rsidRPr="0086150B">
              <w:rPr>
                <w:rFonts w:ascii="Calibri" w:hAnsi="Calibri" w:cs="Calibri"/>
                <w:noProof/>
                <w:sz w:val="20"/>
                <w:szCs w:val="20"/>
                <w:lang w:val="en-GB"/>
              </w:rPr>
              <w:t>Identification of viable LCE technologies for buildings (e.g.; waste heat recovery, building-integrated RE, and seawater cooling), their potential for applications &amp; GHG emission reduction</w:t>
            </w:r>
          </w:p>
          <w:p w:rsidR="000D5083" w:rsidRDefault="000D5083">
            <w:pPr>
              <w:shd w:val="clear" w:color="auto" w:fill="FFFFFF"/>
              <w:spacing w:after="144"/>
              <w:jc w:val="both"/>
              <w:rPr>
                <w:rFonts w:ascii="Calibri" w:hAnsi="Calibri" w:cs="Calibri"/>
                <w:noProof/>
                <w:sz w:val="20"/>
                <w:szCs w:val="20"/>
                <w:u w:val="single"/>
              </w:rPr>
            </w:pPr>
            <w:r>
              <w:rPr>
                <w:rFonts w:ascii="Calibri" w:hAnsi="Calibri" w:cs="Calibri"/>
                <w:noProof/>
                <w:sz w:val="20"/>
                <w:szCs w:val="20"/>
                <w:u w:val="single"/>
              </w:rPr>
              <w:t xml:space="preserve">Component 2: Selection and recommendation of new design parameters for EE &amp; LCE buildings </w:t>
            </w:r>
          </w:p>
          <w:p w:rsidR="000D5083" w:rsidRDefault="000D5083">
            <w:pPr>
              <w:shd w:val="clear" w:color="auto" w:fill="FFFFFF"/>
              <w:jc w:val="both"/>
              <w:rPr>
                <w:rFonts w:ascii="Calibri" w:hAnsi="Calibri" w:cs="Calibri"/>
                <w:noProof/>
                <w:sz w:val="20"/>
                <w:szCs w:val="20"/>
              </w:rPr>
            </w:pPr>
            <w:r>
              <w:rPr>
                <w:rFonts w:ascii="Calibri" w:hAnsi="Calibri" w:cs="Calibri"/>
                <w:noProof/>
                <w:sz w:val="20"/>
                <w:szCs w:val="20"/>
              </w:rPr>
              <w:t>This involve the identification and assessment of EE &amp; LCE building system, sub-systems &amp; component technologies that are currently available. It will also include information in the planning  and development of these technologies, including approved methodologies for baseline GHG monitoring and verification. Opportunities for substantial energy saving through redesign and technological substitution will be identified, including, optimal solutions for achieving far higher EE in buildings and decarbonization of energy use in them. In particular, this will involve detailed techno-economic analysis and assessment of market potential of the the different EE technologies and designs identified in the ‘ADB EE Investment Study for Maldives’ for applications such as energy efficient air-conditioners, lighting,  building use practices, and building envelop, and waste heat recovery. It will also include on-site RE generation (building on the work of the JICA project on BIPV systems) and seawater cooling (building on the work of UN-DESA). The expected outputs are:</w:t>
            </w:r>
          </w:p>
          <w:p w:rsidR="000D5083" w:rsidRDefault="000D5083">
            <w:pPr>
              <w:numPr>
                <w:ilvl w:val="0"/>
                <w:numId w:val="23"/>
              </w:numPr>
              <w:shd w:val="clear" w:color="auto" w:fill="FFFFFF"/>
              <w:jc w:val="both"/>
              <w:rPr>
                <w:rFonts w:ascii="Calibri" w:hAnsi="Calibri" w:cs="Calibri"/>
                <w:noProof/>
                <w:sz w:val="20"/>
                <w:szCs w:val="20"/>
                <w:lang w:val="en-GB"/>
              </w:rPr>
            </w:pPr>
            <w:r>
              <w:rPr>
                <w:rFonts w:ascii="Calibri" w:hAnsi="Calibri" w:cs="Calibri"/>
                <w:noProof/>
                <w:sz w:val="20"/>
                <w:szCs w:val="20"/>
                <w:lang w:val="en-GB"/>
              </w:rPr>
              <w:t>Approved methodologies for baseline GHG monitoring and verification</w:t>
            </w:r>
          </w:p>
          <w:p w:rsidR="000D5083" w:rsidRDefault="000D5083">
            <w:pPr>
              <w:numPr>
                <w:ilvl w:val="0"/>
                <w:numId w:val="23"/>
              </w:numPr>
              <w:shd w:val="clear" w:color="auto" w:fill="FFFFFF"/>
              <w:jc w:val="both"/>
              <w:rPr>
                <w:rFonts w:ascii="Calibri" w:hAnsi="Calibri" w:cs="Calibri"/>
                <w:noProof/>
                <w:sz w:val="20"/>
                <w:szCs w:val="20"/>
                <w:lang w:val="en-GB"/>
              </w:rPr>
            </w:pPr>
            <w:r>
              <w:rPr>
                <w:rFonts w:ascii="Calibri" w:hAnsi="Calibri" w:cs="Calibri"/>
                <w:noProof/>
                <w:sz w:val="20"/>
                <w:szCs w:val="20"/>
                <w:lang w:val="en-GB"/>
              </w:rPr>
              <w:t>Techno-economic and environmental assessment of viable EE &amp; LCE  building technologies</w:t>
            </w:r>
          </w:p>
          <w:p w:rsidR="000D5083" w:rsidRDefault="000D5083">
            <w:pPr>
              <w:numPr>
                <w:ilvl w:val="0"/>
                <w:numId w:val="23"/>
              </w:numPr>
              <w:shd w:val="clear" w:color="auto" w:fill="FFFFFF"/>
              <w:jc w:val="both"/>
              <w:rPr>
                <w:rFonts w:ascii="Calibri" w:hAnsi="Calibri" w:cs="Calibri"/>
                <w:noProof/>
                <w:sz w:val="20"/>
                <w:szCs w:val="20"/>
                <w:lang w:val="en-GB"/>
              </w:rPr>
            </w:pPr>
            <w:r>
              <w:rPr>
                <w:rFonts w:ascii="Calibri" w:hAnsi="Calibri" w:cs="Calibri"/>
                <w:noProof/>
                <w:sz w:val="20"/>
                <w:szCs w:val="20"/>
                <w:lang w:val="en-GB"/>
              </w:rPr>
              <w:t>Opportunities for substantial energy saving through redesign and technological substitution</w:t>
            </w:r>
          </w:p>
          <w:p w:rsidR="000D5083" w:rsidRDefault="000D5083">
            <w:pPr>
              <w:numPr>
                <w:ilvl w:val="0"/>
                <w:numId w:val="23"/>
              </w:numPr>
              <w:shd w:val="clear" w:color="auto" w:fill="FFFFFF"/>
              <w:spacing w:after="144"/>
              <w:ind w:left="357" w:hanging="357"/>
              <w:jc w:val="both"/>
              <w:rPr>
                <w:rFonts w:ascii="Calibri" w:hAnsi="Calibri" w:cs="Calibri"/>
                <w:noProof/>
                <w:sz w:val="20"/>
                <w:szCs w:val="20"/>
                <w:lang w:val="en-GB"/>
              </w:rPr>
            </w:pPr>
            <w:r>
              <w:rPr>
                <w:rFonts w:ascii="Calibri" w:hAnsi="Calibri" w:cs="Calibri"/>
                <w:noProof/>
                <w:sz w:val="20"/>
                <w:szCs w:val="20"/>
                <w:lang w:val="en-GB"/>
              </w:rPr>
              <w:t>Optimal solutions for achieving far higher EE in buildings and de-carbonization of energy use</w:t>
            </w:r>
          </w:p>
          <w:p w:rsidR="000D5083" w:rsidRDefault="000D5083">
            <w:pPr>
              <w:shd w:val="clear" w:color="auto" w:fill="FFFFFF"/>
              <w:spacing w:after="144"/>
              <w:jc w:val="both"/>
              <w:rPr>
                <w:rFonts w:ascii="Calibri" w:hAnsi="Calibri" w:cs="Calibri"/>
                <w:noProof/>
                <w:sz w:val="20"/>
                <w:szCs w:val="20"/>
                <w:u w:val="single"/>
              </w:rPr>
            </w:pPr>
            <w:r>
              <w:rPr>
                <w:rFonts w:ascii="Calibri" w:hAnsi="Calibri" w:cs="Calibri"/>
                <w:noProof/>
                <w:sz w:val="20"/>
                <w:szCs w:val="20"/>
                <w:u w:val="single"/>
              </w:rPr>
              <w:t xml:space="preserve">Component 3: Developing local technical expertise  </w:t>
            </w:r>
          </w:p>
          <w:p w:rsidR="000D5083" w:rsidRDefault="000D5083">
            <w:pPr>
              <w:shd w:val="clear" w:color="auto" w:fill="FFFFFF"/>
              <w:spacing w:after="144"/>
              <w:jc w:val="both"/>
              <w:rPr>
                <w:rFonts w:ascii="Calibri" w:hAnsi="Calibri" w:cs="Calibri"/>
              </w:rPr>
            </w:pPr>
            <w:r>
              <w:rPr>
                <w:rFonts w:ascii="Calibri" w:hAnsi="Calibri" w:cs="Calibri"/>
                <w:noProof/>
                <w:sz w:val="20"/>
                <w:szCs w:val="20"/>
              </w:rPr>
              <w:t xml:space="preserve">The formulation and institutionalization of human resources development programs in the country will be done in partnership with local training institutions. This will be done by integrating relevant courses and training modules in relevant degree and technical training course programs such as engineering, business management, finance, economics and technical/vocational courses offered by local academic institutes. These courses will also facilitate on-the-job training and scholarship for the brightest and most promising students. This approach will hopefully interest many local students to build careers in the field of energy efficiency and low carbon energy (assuming that there will be good job prospects resulting from many projects coming out of the country’s LCE strategy), and as such, build the local expertise sorely needed by the country. The project will also welcome students from other countries and regions, thereby creating the possibility for the Maldives as a possible regional training center in low carbon energy systems. One way to ensure continuity of the training programs established is the continuous and expanding demand for trainees, assuming that market demand for EE/LCE services and technologies begin to pick up and expand. A policy will be adopted whereby government agencies will be mandated to employ the trained personnel, while the private sector will be encouraged to follow.  </w:t>
            </w:r>
          </w:p>
          <w:p w:rsidR="000D5083" w:rsidRDefault="000D5083">
            <w:pPr>
              <w:shd w:val="clear" w:color="auto" w:fill="FFFFFF"/>
              <w:jc w:val="both"/>
              <w:rPr>
                <w:rFonts w:ascii="Calibri" w:hAnsi="Calibri" w:cs="Calibri"/>
                <w:smallCaps/>
                <w:noProof/>
                <w:sz w:val="20"/>
                <w:szCs w:val="20"/>
                <w:u w:val="single"/>
              </w:rPr>
            </w:pPr>
            <w:r>
              <w:rPr>
                <w:rFonts w:ascii="Calibri" w:hAnsi="Calibri" w:cs="Calibri"/>
                <w:smallCaps/>
                <w:noProof/>
                <w:sz w:val="20"/>
                <w:szCs w:val="20"/>
                <w:u w:val="single"/>
              </w:rPr>
              <w:t xml:space="preserve">Component 4: Technology transfer and commercial-scale demonstration of EE &amp; LCE technologies </w:t>
            </w:r>
          </w:p>
          <w:p w:rsidR="000D5083" w:rsidRDefault="000D5083">
            <w:pPr>
              <w:jc w:val="both"/>
              <w:rPr>
                <w:rFonts w:ascii="Calibri" w:hAnsi="Calibri" w:cs="Calibri"/>
                <w:noProof/>
                <w:sz w:val="20"/>
                <w:szCs w:val="20"/>
              </w:rPr>
            </w:pPr>
          </w:p>
          <w:p w:rsidR="000D5083" w:rsidRDefault="000D5083">
            <w:pPr>
              <w:jc w:val="both"/>
              <w:rPr>
                <w:rFonts w:ascii="Calibri" w:hAnsi="Calibri" w:cs="Calibri"/>
                <w:noProof/>
                <w:sz w:val="20"/>
                <w:szCs w:val="20"/>
              </w:rPr>
            </w:pPr>
            <w:r>
              <w:rPr>
                <w:rFonts w:ascii="Calibri" w:hAnsi="Calibri" w:cs="Calibri"/>
                <w:noProof/>
                <w:sz w:val="20"/>
                <w:szCs w:val="20"/>
              </w:rPr>
              <w:t xml:space="preserve">To obtain a better understanding of the technical potential and financial viabilty of energy efficient technologies under Maldives’ local environmental and economic conditions, technical assistance (TA) and investment (INV) will be undertaken by the project. Technology transfer (TA)  and demonstration (TA+INV) activities. Demonstration activities will target both existing buildings (e.g.; retrofitting of government and tourism-oriented buildings) and new buildings. This will done for the three types of buildings targeted by the project; household (social housing), government and tourism-oriented buildings. </w:t>
            </w:r>
          </w:p>
          <w:p w:rsidR="000D5083" w:rsidRDefault="000D5083">
            <w:pPr>
              <w:jc w:val="both"/>
              <w:rPr>
                <w:rFonts w:ascii="Calibri" w:hAnsi="Calibri" w:cs="Calibri"/>
                <w:noProof/>
                <w:sz w:val="20"/>
                <w:szCs w:val="20"/>
              </w:rPr>
            </w:pPr>
          </w:p>
          <w:p w:rsidR="000D5083" w:rsidRDefault="000D5083">
            <w:pPr>
              <w:jc w:val="both"/>
              <w:rPr>
                <w:rFonts w:ascii="Calibri" w:hAnsi="Calibri" w:cs="Calibri"/>
                <w:noProof/>
                <w:sz w:val="20"/>
                <w:szCs w:val="20"/>
              </w:rPr>
            </w:pPr>
            <w:r>
              <w:rPr>
                <w:rFonts w:ascii="Calibri" w:hAnsi="Calibri" w:cs="Calibri"/>
                <w:noProof/>
                <w:sz w:val="20"/>
                <w:szCs w:val="20"/>
              </w:rPr>
              <w:t>The expected outputs of the technical assistance sub-component include:</w:t>
            </w:r>
          </w:p>
          <w:p w:rsidR="000D5083" w:rsidRDefault="000D5083">
            <w:pPr>
              <w:pStyle w:val="ListParagraph"/>
              <w:rPr>
                <w:noProof/>
              </w:rPr>
            </w:pPr>
            <w:r>
              <w:rPr>
                <w:noProof/>
              </w:rPr>
              <w:t xml:space="preserve">Commercial-scale application and demonstration of: </w:t>
            </w:r>
          </w:p>
          <w:p w:rsidR="000D5083" w:rsidRDefault="000D5083">
            <w:pPr>
              <w:pStyle w:val="ListParagraph"/>
              <w:rPr>
                <w:noProof/>
              </w:rPr>
            </w:pPr>
            <w:r>
              <w:rPr>
                <w:noProof/>
              </w:rPr>
              <w:t xml:space="preserve">EE technologies, i.e.; cooling &amp; air-conditioning, insulation, water heating/pumping and lighting </w:t>
            </w:r>
          </w:p>
          <w:p w:rsidR="000D5083" w:rsidRDefault="000D5083">
            <w:pPr>
              <w:pStyle w:val="ListParagraph"/>
              <w:rPr>
                <w:noProof/>
              </w:rPr>
            </w:pPr>
            <w:r>
              <w:rPr>
                <w:noProof/>
              </w:rPr>
              <w:t>LCE technologies and designs, such as; waste heat recovery, building integrated PV (in cooperation with JICA project) and sea water cooling (with support of UN-DESA)</w:t>
            </w:r>
          </w:p>
          <w:p w:rsidR="000D5083" w:rsidRDefault="000D5083">
            <w:pPr>
              <w:pStyle w:val="ListParagraph"/>
              <w:rPr>
                <w:noProof/>
              </w:rPr>
            </w:pPr>
            <w:r>
              <w:rPr>
                <w:noProof/>
              </w:rPr>
              <w:t>good housekeeping practices for energy savings,</w:t>
            </w:r>
          </w:p>
          <w:p w:rsidR="000D5083" w:rsidRDefault="000D5083">
            <w:pPr>
              <w:pStyle w:val="ListParagraph"/>
              <w:rPr>
                <w:noProof/>
              </w:rPr>
            </w:pPr>
            <w:r>
              <w:rPr>
                <w:noProof/>
              </w:rPr>
              <w:t>EE lighting for street, perimeter and other outside places supporting the buildings built-up area</w:t>
            </w:r>
          </w:p>
          <w:p w:rsidR="000D5083" w:rsidRDefault="000D5083">
            <w:pPr>
              <w:pStyle w:val="ListParagraph"/>
              <w:rPr>
                <w:noProof/>
              </w:rPr>
            </w:pPr>
            <w:r>
              <w:rPr>
                <w:noProof/>
              </w:rPr>
              <w:t>Capital and operating costs of buildings reduced from reduced energy cost</w:t>
            </w:r>
          </w:p>
          <w:p w:rsidR="000D5083" w:rsidRDefault="000D5083">
            <w:pPr>
              <w:jc w:val="both"/>
              <w:rPr>
                <w:rFonts w:ascii="Calibri" w:hAnsi="Calibri" w:cs="Calibri"/>
                <w:noProof/>
                <w:sz w:val="20"/>
                <w:szCs w:val="20"/>
              </w:rPr>
            </w:pPr>
            <w:r>
              <w:rPr>
                <w:rFonts w:ascii="Calibri" w:hAnsi="Calibri" w:cs="Calibri"/>
                <w:noProof/>
                <w:sz w:val="20"/>
                <w:szCs w:val="20"/>
              </w:rPr>
              <w:t>The expected outputs of the investment sub-component include:</w:t>
            </w:r>
          </w:p>
          <w:p w:rsidR="000D5083" w:rsidRDefault="000D5083">
            <w:pPr>
              <w:numPr>
                <w:ilvl w:val="0"/>
                <w:numId w:val="23"/>
              </w:numPr>
              <w:jc w:val="both"/>
              <w:rPr>
                <w:rFonts w:ascii="Calibri" w:hAnsi="Calibri" w:cs="Calibri"/>
                <w:noProof/>
                <w:sz w:val="20"/>
                <w:szCs w:val="20"/>
                <w:lang w:val="en-GB"/>
              </w:rPr>
            </w:pPr>
            <w:r>
              <w:rPr>
                <w:rFonts w:ascii="Calibri" w:hAnsi="Calibri" w:cs="Calibri"/>
                <w:noProof/>
                <w:sz w:val="20"/>
                <w:szCs w:val="20"/>
              </w:rPr>
              <w:t>Retrofitting of existing buildings (e.g.; government &amp; tourism-oriented buildings)</w:t>
            </w:r>
          </w:p>
          <w:p w:rsidR="000D5083" w:rsidRDefault="000D5083">
            <w:pPr>
              <w:numPr>
                <w:ilvl w:val="0"/>
                <w:numId w:val="23"/>
              </w:numPr>
              <w:jc w:val="both"/>
              <w:rPr>
                <w:rFonts w:ascii="Calibri" w:hAnsi="Calibri" w:cs="Calibri"/>
                <w:noProof/>
                <w:sz w:val="20"/>
                <w:szCs w:val="20"/>
                <w:lang w:val="en-GB"/>
              </w:rPr>
            </w:pPr>
            <w:r>
              <w:rPr>
                <w:rFonts w:ascii="Calibri" w:hAnsi="Calibri" w:cs="Calibri"/>
                <w:noProof/>
                <w:sz w:val="20"/>
                <w:szCs w:val="20"/>
                <w:lang w:val="en-GB"/>
              </w:rPr>
              <w:t xml:space="preserve">EE &amp; LCE technologies and design integrated and incorporated in social housing projects </w:t>
            </w:r>
          </w:p>
          <w:p w:rsidR="000D5083" w:rsidRDefault="000D5083">
            <w:pPr>
              <w:numPr>
                <w:ilvl w:val="0"/>
                <w:numId w:val="23"/>
              </w:numPr>
              <w:jc w:val="both"/>
              <w:rPr>
                <w:rFonts w:ascii="Calibri" w:hAnsi="Calibri" w:cs="Calibri"/>
                <w:noProof/>
                <w:sz w:val="20"/>
                <w:szCs w:val="20"/>
                <w:lang w:val="en-GB"/>
              </w:rPr>
            </w:pPr>
            <w:r>
              <w:rPr>
                <w:rFonts w:ascii="Calibri" w:hAnsi="Calibri" w:cs="Calibri"/>
                <w:noProof/>
                <w:sz w:val="20"/>
                <w:szCs w:val="20"/>
              </w:rPr>
              <w:t xml:space="preserve">EE &amp; LCE technologies and design deployed in new government and tourism-oriented buildings </w:t>
            </w:r>
          </w:p>
          <w:p w:rsidR="000D5083" w:rsidRDefault="000D5083">
            <w:pPr>
              <w:numPr>
                <w:ilvl w:val="0"/>
                <w:numId w:val="23"/>
              </w:numPr>
              <w:jc w:val="both"/>
              <w:rPr>
                <w:rFonts w:ascii="Calibri" w:hAnsi="Calibri" w:cs="Calibri"/>
                <w:noProof/>
                <w:sz w:val="20"/>
                <w:szCs w:val="20"/>
                <w:lang w:val="en-GB"/>
              </w:rPr>
            </w:pPr>
            <w:r>
              <w:rPr>
                <w:rFonts w:ascii="Calibri" w:hAnsi="Calibri" w:cs="Calibri"/>
                <w:noProof/>
                <w:sz w:val="20"/>
                <w:szCs w:val="20"/>
              </w:rPr>
              <w:t>Dissemination of EE street and outdoor (e.g.; replacement of 1800 existing LFL and Halogen lamps in Male’ streets)</w:t>
            </w:r>
          </w:p>
          <w:p w:rsidR="000D5083" w:rsidRDefault="000D5083">
            <w:pPr>
              <w:numPr>
                <w:ilvl w:val="0"/>
                <w:numId w:val="23"/>
              </w:numPr>
              <w:jc w:val="both"/>
              <w:rPr>
                <w:rFonts w:ascii="Calibri" w:hAnsi="Calibri" w:cs="Calibri"/>
                <w:noProof/>
                <w:sz w:val="20"/>
                <w:szCs w:val="20"/>
                <w:lang w:val="en-GB"/>
              </w:rPr>
            </w:pPr>
            <w:r>
              <w:rPr>
                <w:rFonts w:ascii="Calibri" w:hAnsi="Calibri" w:cs="Calibri"/>
                <w:noProof/>
                <w:sz w:val="20"/>
                <w:szCs w:val="20"/>
              </w:rPr>
              <w:t>Y tons of GHG emissions reduced</w:t>
            </w:r>
          </w:p>
          <w:p w:rsidR="000D5083" w:rsidRDefault="000D5083">
            <w:pPr>
              <w:numPr>
                <w:ilvl w:val="0"/>
                <w:numId w:val="23"/>
              </w:numPr>
              <w:spacing w:after="144"/>
              <w:ind w:left="357" w:hanging="357"/>
              <w:jc w:val="both"/>
              <w:rPr>
                <w:rFonts w:ascii="Calibri" w:hAnsi="Calibri" w:cs="Calibri"/>
                <w:noProof/>
                <w:sz w:val="20"/>
                <w:szCs w:val="20"/>
                <w:lang w:val="en-GB"/>
              </w:rPr>
            </w:pPr>
            <w:r>
              <w:rPr>
                <w:rFonts w:ascii="Calibri" w:hAnsi="Calibri" w:cs="Calibri"/>
                <w:noProof/>
                <w:sz w:val="20"/>
                <w:szCs w:val="20"/>
              </w:rPr>
              <w:t>$ amount or % of saving in street and outdoor lighting costs</w:t>
            </w:r>
          </w:p>
          <w:p w:rsidR="000D5083" w:rsidRDefault="000D5083">
            <w:pPr>
              <w:spacing w:after="144"/>
              <w:jc w:val="both"/>
              <w:rPr>
                <w:rFonts w:ascii="Calibri" w:hAnsi="Calibri" w:cs="Calibri"/>
                <w:noProof/>
                <w:sz w:val="20"/>
                <w:szCs w:val="20"/>
              </w:rPr>
            </w:pPr>
            <w:r>
              <w:rPr>
                <w:rFonts w:ascii="Calibri" w:hAnsi="Calibri" w:cs="Calibri"/>
                <w:noProof/>
                <w:sz w:val="20"/>
                <w:szCs w:val="20"/>
              </w:rPr>
              <w:t xml:space="preserve">It is the social housing program that will be targeted for investment in energy efficient (EE) and low carbon energy (LCE) designs and technologies to be promoted under this GEF project. The GEF project will target the first phase of the social housing program that is to be financed by China which is estimated to cost $170M. </w:t>
            </w:r>
          </w:p>
          <w:p w:rsidR="000D5083" w:rsidRDefault="000D5083">
            <w:pPr>
              <w:spacing w:before="120" w:after="144"/>
              <w:jc w:val="both"/>
              <w:rPr>
                <w:rFonts w:ascii="Calibri" w:hAnsi="Calibri" w:cs="Calibri"/>
                <w:smallCaps/>
                <w:noProof/>
                <w:sz w:val="20"/>
                <w:szCs w:val="20"/>
                <w:u w:val="single"/>
              </w:rPr>
            </w:pPr>
            <w:r>
              <w:rPr>
                <w:rFonts w:ascii="Calibri" w:hAnsi="Calibri" w:cs="Calibri"/>
                <w:smallCaps/>
                <w:noProof/>
                <w:sz w:val="20"/>
                <w:szCs w:val="20"/>
                <w:u w:val="single"/>
              </w:rPr>
              <w:t>Component 5: Policy for transformation  of markets for EE &amp; LCEtechnologies</w:t>
            </w:r>
          </w:p>
          <w:p w:rsidR="000D5083" w:rsidRDefault="000D5083">
            <w:pPr>
              <w:spacing w:after="144"/>
              <w:jc w:val="both"/>
              <w:rPr>
                <w:rFonts w:ascii="Calibri" w:hAnsi="Calibri" w:cs="Calibri"/>
                <w:noProof/>
                <w:sz w:val="20"/>
                <w:szCs w:val="20"/>
              </w:rPr>
            </w:pPr>
            <w:r>
              <w:rPr>
                <w:rFonts w:ascii="Calibri" w:hAnsi="Calibri" w:cs="Calibri"/>
                <w:noProof/>
                <w:sz w:val="20"/>
                <w:szCs w:val="20"/>
              </w:rPr>
              <w:t xml:space="preserve">The activities undertaken under GEF </w:t>
            </w:r>
            <w:r>
              <w:rPr>
                <w:rFonts w:ascii="Calibri" w:hAnsi="Calibri" w:cs="Calibri"/>
                <w:i/>
                <w:iCs/>
                <w:noProof/>
                <w:sz w:val="20"/>
                <w:szCs w:val="20"/>
              </w:rPr>
              <w:t>Project Components 1 to 4</w:t>
            </w:r>
            <w:r>
              <w:rPr>
                <w:rFonts w:ascii="Calibri" w:hAnsi="Calibri" w:cs="Calibri"/>
                <w:noProof/>
                <w:sz w:val="20"/>
                <w:szCs w:val="20"/>
              </w:rPr>
              <w:t xml:space="preserve"> will provide the elements for formulating a national low-carbon energy path, focusing on energy demand strategies, particularly the transformation of  markets for EE and LCE technologies for buildings and environs. </w:t>
            </w:r>
            <w:r>
              <w:rPr>
                <w:rFonts w:ascii="Calibri" w:hAnsi="Calibri" w:cs="Calibri"/>
                <w:sz w:val="20"/>
                <w:szCs w:val="20"/>
              </w:rPr>
              <w:t xml:space="preserve">Policies and regulatory framework will be adopted and financing mechanisms establish </w:t>
            </w:r>
            <w:r>
              <w:rPr>
                <w:rFonts w:ascii="Calibri" w:hAnsi="Calibri" w:cs="Calibri"/>
                <w:noProof/>
                <w:sz w:val="20"/>
                <w:szCs w:val="20"/>
              </w:rPr>
              <w:t xml:space="preserve">to enable and encourage public-private partnerships in this market transformation towards a low-carbon energy path. </w:t>
            </w:r>
          </w:p>
          <w:p w:rsidR="000D5083" w:rsidRDefault="000D5083">
            <w:pPr>
              <w:spacing w:after="144"/>
              <w:jc w:val="both"/>
              <w:rPr>
                <w:rFonts w:ascii="Calibri" w:hAnsi="Calibri" w:cs="Calibri"/>
                <w:noProof/>
                <w:sz w:val="20"/>
                <w:szCs w:val="20"/>
              </w:rPr>
            </w:pPr>
            <w:r>
              <w:rPr>
                <w:rFonts w:ascii="Calibri" w:hAnsi="Calibri" w:cs="Calibri"/>
                <w:noProof/>
                <w:sz w:val="20"/>
                <w:szCs w:val="20"/>
              </w:rPr>
              <w:t>Strengthening policy and adoption of regulatory framework to promote EE &amp; LC energy building technologies will also involve the development of an institutional structure and mechanisms that will allow  (1) updating of plans; (2) monitoring, evaluation and assessment of EE &amp; LC energy investments and its contributon to the low-carbon energy path;  and (3)  monitoring and evaluation of their impacts.</w:t>
            </w:r>
          </w:p>
          <w:p w:rsidR="000D5083" w:rsidRDefault="000D5083">
            <w:pPr>
              <w:spacing w:after="144"/>
              <w:jc w:val="both"/>
              <w:rPr>
                <w:rFonts w:ascii="Calibri" w:hAnsi="Calibri" w:cs="Calibri"/>
                <w:noProof/>
                <w:sz w:val="20"/>
                <w:szCs w:val="20"/>
              </w:rPr>
            </w:pPr>
            <w:r>
              <w:rPr>
                <w:rFonts w:ascii="Calibri" w:hAnsi="Calibri" w:cs="Calibri"/>
                <w:noProof/>
                <w:sz w:val="20"/>
                <w:szCs w:val="20"/>
              </w:rPr>
              <w:t>There will studies also on identifying potential DSM (Demand Side Management) strategies such as the integration of interruptible load &amp; tou (Time of Use) strategies. This to manage energy demand in order to match it with RE supply, thereby maximizing use of RE power generation for energy demand involving high, but efficient energy use.  Batch production of desalinated water and ice can be then stored from the times when wind or solar is strong until later. There will also be socio-economic assessment done in conjunction with the socio-economic planning activities normally conducted by the socio-economic planning and development national and local agencies. The socio-economic assessment studies will include gender disaggregated data and gender-sensitive methodologies and analysis. Such a methodology has been developed in a joint guidebook developed by UN-DESA/ESCAP and will be recommended for adoption by this project.</w:t>
            </w:r>
          </w:p>
          <w:p w:rsidR="000D5083" w:rsidRDefault="000D5083">
            <w:pPr>
              <w:jc w:val="both"/>
              <w:rPr>
                <w:rFonts w:ascii="Calibri" w:hAnsi="Calibri" w:cs="Calibri"/>
                <w:noProof/>
                <w:sz w:val="20"/>
                <w:szCs w:val="20"/>
              </w:rPr>
            </w:pPr>
            <w:r>
              <w:rPr>
                <w:rFonts w:ascii="Calibri" w:hAnsi="Calibri" w:cs="Calibri"/>
                <w:noProof/>
                <w:sz w:val="20"/>
                <w:szCs w:val="20"/>
              </w:rPr>
              <w:t xml:space="preserve">As mentioned previously, roadmaps for energy efficiency in the buildings (households and government buildings) and the tourist sectors have already been formulated for the country (under the CECM project). The GEF project will strengthen and fine-tune the proposed roadmap to achieve sustainability and buy-in by key relevant stakeholders. The GEF project will integrate activities of the proposed road map, targeting the following outputs: </w:t>
            </w:r>
          </w:p>
          <w:p w:rsidR="000D5083" w:rsidRDefault="000D5083">
            <w:pPr>
              <w:pStyle w:val="ListParagraph"/>
              <w:spacing w:after="0"/>
            </w:pPr>
            <w:r>
              <w:t>Energy demand side management (DSM) strategies for transformation of markets for EE &amp; LCE technologies</w:t>
            </w:r>
            <w:r>
              <w:br/>
              <w:t>Institutional mechanisms for planning, monitoring, evaluation &amp; assessing market transformation strategies</w:t>
            </w:r>
          </w:p>
          <w:p w:rsidR="000D5083" w:rsidRDefault="000D5083">
            <w:pPr>
              <w:pStyle w:val="ListParagraph"/>
              <w:spacing w:after="0"/>
            </w:pPr>
            <w:r>
              <w:t>Guidelines and draft standards for EE and LCE construction practices, including:</w:t>
            </w:r>
          </w:p>
          <w:p w:rsidR="000D5083" w:rsidRDefault="000D5083">
            <w:pPr>
              <w:pStyle w:val="ListParagraph"/>
              <w:spacing w:after="0"/>
            </w:pPr>
            <w:r>
              <w:t xml:space="preserve">Provisions for EE &amp; LCE measures and standards integrated into the revised building code   </w:t>
            </w:r>
          </w:p>
          <w:p w:rsidR="000D5083" w:rsidRDefault="000D5083">
            <w:pPr>
              <w:pStyle w:val="ListParagraph"/>
              <w:spacing w:after="0"/>
            </w:pPr>
            <w:r>
              <w:t>Standards &amp;Labelling for EE equipment and appliances (e.g.; air-conditioners, room recirculation fan motors, exhaust fans, lights, water heaters, water pumps)</w:t>
            </w:r>
          </w:p>
          <w:p w:rsidR="000D5083" w:rsidRDefault="000D5083">
            <w:pPr>
              <w:pStyle w:val="ListParagraph"/>
              <w:spacing w:after="0"/>
            </w:pPr>
            <w:r>
              <w:t>Preliminary standards for LCE energy equipment &amp; products</w:t>
            </w:r>
          </w:p>
          <w:p w:rsidR="000D5083" w:rsidRDefault="000D5083">
            <w:pPr>
              <w:pStyle w:val="ListParagraph"/>
              <w:spacing w:after="0"/>
            </w:pPr>
            <w:r>
              <w:t>A government body/ies to oversee product quality standards, product quality assurance and quality standards compliance for EE &amp; LC energy products &amp; measures</w:t>
            </w:r>
          </w:p>
          <w:p w:rsidR="000D5083" w:rsidRDefault="000D5083">
            <w:pPr>
              <w:pStyle w:val="ListParagraph"/>
              <w:spacing w:after="0"/>
            </w:pPr>
            <w:r>
              <w:t>Marketing strategies for EE lighting, appliances &amp; equipment &amp; new LCE technologies</w:t>
            </w:r>
          </w:p>
          <w:p w:rsidR="000D5083" w:rsidRDefault="000D5083">
            <w:pPr>
              <w:pStyle w:val="ListParagraph"/>
              <w:spacing w:after="0"/>
            </w:pPr>
            <w:r>
              <w:t>Monitoring, evaluation and assessment mechanisms, including project evaluation reports:</w:t>
            </w:r>
          </w:p>
          <w:p w:rsidR="000D5083" w:rsidRDefault="000D5083">
            <w:pPr>
              <w:pStyle w:val="ListParagraph"/>
              <w:spacing w:after="0"/>
            </w:pPr>
            <w:r>
              <w:t>Assessments of GHG emission reduction from EE LC energy measures adopted</w:t>
            </w:r>
          </w:p>
          <w:p w:rsidR="000D5083" w:rsidRDefault="000D5083">
            <w:pPr>
              <w:pStyle w:val="ListParagraph"/>
            </w:pPr>
            <w:r>
              <w:t>Socio-economic assessment studies, including gender aspects</w:t>
            </w:r>
          </w:p>
          <w:p w:rsidR="000D5083" w:rsidRDefault="000D5083">
            <w:pPr>
              <w:autoSpaceDE w:val="0"/>
              <w:autoSpaceDN w:val="0"/>
              <w:adjustRightInd w:val="0"/>
              <w:jc w:val="both"/>
              <w:rPr>
                <w:rFonts w:ascii="Calibri" w:hAnsi="Calibri" w:cs="Calibri"/>
                <w:smallCaps/>
                <w:noProof/>
                <w:sz w:val="20"/>
                <w:szCs w:val="20"/>
                <w:u w:val="single"/>
              </w:rPr>
            </w:pPr>
            <w:r>
              <w:rPr>
                <w:rFonts w:ascii="Calibri" w:hAnsi="Calibri" w:cs="Calibri"/>
                <w:smallCaps/>
                <w:noProof/>
                <w:sz w:val="20"/>
                <w:szCs w:val="20"/>
                <w:u w:val="single"/>
              </w:rPr>
              <w:t xml:space="preserve">Component 6. Financing for EE and LCE building technologies          </w:t>
            </w:r>
          </w:p>
          <w:p w:rsidR="000D5083" w:rsidRDefault="000D5083">
            <w:pPr>
              <w:autoSpaceDE w:val="0"/>
              <w:autoSpaceDN w:val="0"/>
              <w:adjustRightInd w:val="0"/>
              <w:jc w:val="both"/>
              <w:rPr>
                <w:rFonts w:ascii="Calibri" w:hAnsi="Calibri" w:cs="Calibri"/>
                <w:noProof/>
                <w:sz w:val="20"/>
                <w:szCs w:val="20"/>
              </w:rPr>
            </w:pPr>
            <w:r>
              <w:rPr>
                <w:rFonts w:ascii="Calibri" w:hAnsi="Calibri" w:cs="Calibri"/>
                <w:noProof/>
                <w:sz w:val="20"/>
                <w:szCs w:val="20"/>
              </w:rPr>
              <w:t>On financing, GEF funds, supplemented by funds from other donors, will be used as seed funding to establish a financing mechanism that will be administered through STELCO with the cooperation with local banks. The financing mechanism, which details will be designed during the PPG phase, will draw from the experiences of the financial mechanism used by the  UNEP-DTIE FACET (End-User Finance for Access to Clean Energy Technologies in South and South East Asia) project. Like the FACET project, the GEF project will aim for end-user financing by initiating bank lending. It will combine technical assistance with a temporary financial support mechanism, such as  interest softening or partial guarantees that will incentivize banks to build up initial loan portfolios. The schemes will be opened to any technology suppliers (i.e.; ESCOs) that can pass a qualification process. Such  multi-supplier qualification strategy should ensure both minimum quality standards but also competitive pricing and after-sales service as experienced by the FACET project. As in the FACET project too, over time, it is expected that the financial support mechanism will be phased out but with the goal that bank lending continues to grow even when the market intervention will be withdrawn. The project will also draw lessons from the experience of UNEP’s ProSol project in Tunisia, which has demonstrated that repayment of RE equipment loans through the public utility ensures low risk of loan default which further reduces financial agencies costs. The expected outputs are:</w:t>
            </w:r>
          </w:p>
          <w:p w:rsidR="000D5083" w:rsidRDefault="000D5083">
            <w:pPr>
              <w:numPr>
                <w:ilvl w:val="0"/>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Financing mechanisms and assistance schemes to access finance</w:t>
            </w:r>
          </w:p>
          <w:p w:rsidR="000D5083" w:rsidRDefault="000D5083">
            <w:pPr>
              <w:numPr>
                <w:ilvl w:val="1"/>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Technical assistance for designing loan schemes</w:t>
            </w:r>
          </w:p>
          <w:p w:rsidR="000D5083" w:rsidRDefault="000D5083">
            <w:pPr>
              <w:numPr>
                <w:ilvl w:val="1"/>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Guide list of financially eligible energy upgrades and equipment for EE &amp; LCE technologies</w:t>
            </w:r>
          </w:p>
          <w:p w:rsidR="000D5083" w:rsidRDefault="000D5083">
            <w:pPr>
              <w:numPr>
                <w:ilvl w:val="1"/>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Grant support that leverages private sector financing and investments</w:t>
            </w:r>
          </w:p>
          <w:p w:rsidR="000D5083" w:rsidRDefault="000D5083">
            <w:pPr>
              <w:numPr>
                <w:ilvl w:val="1"/>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Blended loan/ grant funding, which include revolving financing mechanism</w:t>
            </w:r>
          </w:p>
          <w:p w:rsidR="000D5083" w:rsidRDefault="000D5083">
            <w:pPr>
              <w:numPr>
                <w:ilvl w:val="0"/>
                <w:numId w:val="24"/>
              </w:numPr>
              <w:autoSpaceDE w:val="0"/>
              <w:autoSpaceDN w:val="0"/>
              <w:adjustRightInd w:val="0"/>
              <w:jc w:val="both"/>
              <w:rPr>
                <w:rFonts w:ascii="Calibri" w:hAnsi="Calibri" w:cs="Calibri"/>
                <w:noProof/>
                <w:sz w:val="20"/>
                <w:szCs w:val="20"/>
                <w:lang w:val="en-GB"/>
              </w:rPr>
            </w:pPr>
            <w:r>
              <w:rPr>
                <w:rFonts w:ascii="Calibri" w:hAnsi="Calibri" w:cs="Calibri"/>
                <w:noProof/>
                <w:sz w:val="20"/>
                <w:szCs w:val="20"/>
              </w:rPr>
              <w:t>First beneficiaries of financing mechanisms</w:t>
            </w:r>
          </w:p>
          <w:p w:rsidR="000D5083" w:rsidRDefault="000D5083">
            <w:pPr>
              <w:rPr>
                <w:rFonts w:ascii="Calibri" w:hAnsi="Calibri" w:cs="Calibri"/>
                <w:color w:val="000000"/>
                <w:sz w:val="20"/>
                <w:szCs w:val="20"/>
              </w:rPr>
            </w:pPr>
          </w:p>
          <w:p w:rsidR="000D5083" w:rsidRDefault="000D5083">
            <w:pPr>
              <w:jc w:val="both"/>
              <w:rPr>
                <w:rFonts w:ascii="Calibri" w:hAnsi="Calibri" w:cs="Calibri"/>
                <w:noProof/>
                <w:sz w:val="20"/>
                <w:szCs w:val="20"/>
              </w:rPr>
            </w:pPr>
            <w:r>
              <w:rPr>
                <w:rFonts w:ascii="Calibri" w:hAnsi="Calibri" w:cs="Calibri"/>
                <w:color w:val="000000"/>
                <w:sz w:val="20"/>
                <w:szCs w:val="20"/>
              </w:rPr>
              <w:t xml:space="preserve">As discussed previously under Component 4, it will be the social housing projects, which will be the key target of the project. The soft loans program to be provided by China and India will be the major source of both co-investment and leveraged investment of this project. </w:t>
            </w:r>
            <w:r>
              <w:rPr>
                <w:rFonts w:ascii="Calibri" w:hAnsi="Calibri" w:cs="Calibri"/>
                <w:noProof/>
                <w:sz w:val="20"/>
                <w:szCs w:val="20"/>
              </w:rPr>
              <w:t>The GEF project will aim to influence the housing investments targeted for 2013-2014 that is within the GEF project duration period. The total targeted investment during this period is estimated to be about $63M (for which at least 25% or about US$15M can be considered as co-financing for this project). Another 4,000 units are targeted for construction starting 2014 and the total investment cost of these (which will also funded by India) should also at least be $170M. This may then be considered leverage financing, as the GEF project will also target them to adopt EE &amp; LCE building technologies and designs.</w:t>
            </w:r>
          </w:p>
          <w:p w:rsidR="007840D1" w:rsidRDefault="007840D1">
            <w:pPr>
              <w:jc w:val="both"/>
              <w:rPr>
                <w:rFonts w:ascii="Calibri" w:hAnsi="Calibri" w:cs="Calibri"/>
                <w:noProof/>
                <w:sz w:val="20"/>
                <w:szCs w:val="20"/>
              </w:rPr>
            </w:pPr>
          </w:p>
          <w:p w:rsidR="008664EE" w:rsidRDefault="007840D1">
            <w:pPr>
              <w:jc w:val="both"/>
              <w:rPr>
                <w:rFonts w:ascii="Calibri" w:hAnsi="Calibri" w:cs="Calibri"/>
                <w:smallCaps/>
                <w:noProof/>
                <w:sz w:val="20"/>
                <w:szCs w:val="20"/>
                <w:u w:val="single"/>
              </w:rPr>
            </w:pPr>
            <w:r w:rsidRPr="008664EE">
              <w:rPr>
                <w:rFonts w:ascii="Calibri" w:hAnsi="Calibri" w:cs="Calibri"/>
                <w:smallCaps/>
                <w:noProof/>
                <w:sz w:val="20"/>
                <w:szCs w:val="20"/>
                <w:u w:val="single"/>
              </w:rPr>
              <w:t>Global Environmental Benefits</w:t>
            </w:r>
          </w:p>
          <w:p w:rsidR="002959EC" w:rsidRDefault="00A44AF9">
            <w:pPr>
              <w:jc w:val="both"/>
              <w:rPr>
                <w:rFonts w:ascii="Calibri" w:hAnsi="Calibri" w:cs="Calibri"/>
                <w:noProof/>
                <w:sz w:val="20"/>
                <w:szCs w:val="20"/>
              </w:rPr>
            </w:pPr>
            <w:r>
              <w:rPr>
                <w:rFonts w:ascii="Calibri" w:hAnsi="Calibri" w:cs="Calibri"/>
                <w:noProof/>
                <w:sz w:val="20"/>
                <w:szCs w:val="20"/>
              </w:rPr>
              <w:t>As earlier discussed, t</w:t>
            </w:r>
            <w:r w:rsidR="00DD0803">
              <w:rPr>
                <w:rFonts w:ascii="Calibri" w:hAnsi="Calibri" w:cs="Calibri"/>
                <w:noProof/>
                <w:sz w:val="20"/>
                <w:szCs w:val="20"/>
              </w:rPr>
              <w:t>he</w:t>
            </w:r>
            <w:r>
              <w:rPr>
                <w:rFonts w:ascii="Calibri" w:hAnsi="Calibri" w:cs="Calibri"/>
                <w:noProof/>
                <w:sz w:val="20"/>
                <w:szCs w:val="20"/>
              </w:rPr>
              <w:t xml:space="preserve"> 2009 Maldives Carbon Audit Report</w:t>
            </w:r>
            <w:r w:rsidR="00DD0803">
              <w:rPr>
                <w:rFonts w:ascii="Calibri" w:hAnsi="Calibri" w:cs="Calibri"/>
                <w:noProof/>
                <w:sz w:val="20"/>
                <w:szCs w:val="20"/>
              </w:rPr>
              <w:t xml:space="preserve"> </w:t>
            </w:r>
            <w:r w:rsidR="008664EE">
              <w:rPr>
                <w:rFonts w:ascii="Calibri" w:hAnsi="Calibri" w:cs="Calibri"/>
                <w:noProof/>
                <w:sz w:val="20"/>
                <w:szCs w:val="20"/>
              </w:rPr>
              <w:t xml:space="preserve">estimated  </w:t>
            </w:r>
            <w:r>
              <w:rPr>
                <w:rFonts w:ascii="Calibri" w:hAnsi="Calibri" w:cs="Calibri"/>
                <w:noProof/>
                <w:sz w:val="20"/>
                <w:szCs w:val="20"/>
              </w:rPr>
              <w:t xml:space="preserve">that </w:t>
            </w:r>
            <w:r w:rsidR="008664EE">
              <w:rPr>
                <w:rFonts w:ascii="Calibri" w:hAnsi="Calibri" w:cs="Calibri"/>
                <w:noProof/>
                <w:sz w:val="20"/>
                <w:szCs w:val="20"/>
              </w:rPr>
              <w:t xml:space="preserve">total </w:t>
            </w:r>
            <w:r w:rsidR="00DD0803">
              <w:rPr>
                <w:rFonts w:ascii="Calibri" w:hAnsi="Calibri" w:cs="Calibri"/>
                <w:noProof/>
                <w:sz w:val="20"/>
                <w:szCs w:val="20"/>
              </w:rPr>
              <w:t xml:space="preserve">GHG emissions </w:t>
            </w:r>
            <w:r w:rsidR="008664EE">
              <w:rPr>
                <w:rFonts w:ascii="Calibri" w:hAnsi="Calibri" w:cs="Calibri"/>
                <w:noProof/>
                <w:sz w:val="20"/>
                <w:szCs w:val="20"/>
              </w:rPr>
              <w:t xml:space="preserve">from the </w:t>
            </w:r>
            <w:r>
              <w:rPr>
                <w:rFonts w:ascii="Calibri" w:hAnsi="Calibri" w:cs="Calibri"/>
                <w:noProof/>
                <w:sz w:val="20"/>
                <w:szCs w:val="20"/>
              </w:rPr>
              <w:t>country in 2009 was</w:t>
            </w:r>
            <w:r w:rsidR="00DD0803">
              <w:rPr>
                <w:rFonts w:ascii="Calibri" w:hAnsi="Calibri" w:cs="Calibri"/>
                <w:noProof/>
                <w:sz w:val="20"/>
                <w:szCs w:val="20"/>
              </w:rPr>
              <w:t xml:space="preserve"> </w:t>
            </w:r>
            <w:r w:rsidR="008664EE">
              <w:rPr>
                <w:rFonts w:ascii="Calibri" w:hAnsi="Calibri" w:cs="Calibri"/>
                <w:sz w:val="20"/>
                <w:szCs w:val="20"/>
              </w:rPr>
              <w:t>1.33 Million tons of CO2-equivalent</w:t>
            </w:r>
            <w:r>
              <w:rPr>
                <w:rFonts w:ascii="Calibri" w:hAnsi="Calibri" w:cs="Calibri"/>
                <w:sz w:val="20"/>
                <w:szCs w:val="20"/>
              </w:rPr>
              <w:t xml:space="preserve"> (Mt CO2e). This is projected to rise to 2.5Mt CO2e by 2020. </w:t>
            </w:r>
            <w:r>
              <w:rPr>
                <w:rFonts w:ascii="Calibri" w:hAnsi="Calibri" w:cs="Calibri"/>
                <w:noProof/>
                <w:sz w:val="20"/>
                <w:szCs w:val="20"/>
              </w:rPr>
              <w:t xml:space="preserve">The report estimated that around 51% of this is from electricity generation. A scoping study conducted by ADB in early 2011 indicated that </w:t>
            </w:r>
            <w:r w:rsidR="00783086">
              <w:rPr>
                <w:rFonts w:ascii="Calibri" w:hAnsi="Calibri" w:cs="Calibri"/>
                <w:noProof/>
                <w:sz w:val="20"/>
                <w:szCs w:val="20"/>
              </w:rPr>
              <w:t>at least 22% of 2009 GHG emissions (about 290,000 tons CO2e) will be reduced if EE measures are adopted by two end-using sectors targeted by this project; (1) residential/institutional/commercial buildings, and (2) tourist-oriented buildings resorts. The scoping study assumed 100</w:t>
            </w:r>
            <w:r w:rsidR="00E66BFF">
              <w:rPr>
                <w:rFonts w:ascii="Calibri" w:hAnsi="Calibri" w:cs="Calibri"/>
                <w:noProof/>
                <w:sz w:val="20"/>
                <w:szCs w:val="20"/>
              </w:rPr>
              <w:t>%</w:t>
            </w:r>
            <w:r w:rsidR="00783086">
              <w:rPr>
                <w:rFonts w:ascii="Calibri" w:hAnsi="Calibri" w:cs="Calibri"/>
                <w:noProof/>
                <w:sz w:val="20"/>
                <w:szCs w:val="20"/>
              </w:rPr>
              <w:t xml:space="preserve"> penetration of energy efficient air-conditioners, refrigerators and pumps in both sectors, plus adoption o</w:t>
            </w:r>
            <w:r w:rsidR="00E66BFF">
              <w:rPr>
                <w:rFonts w:ascii="Calibri" w:hAnsi="Calibri" w:cs="Calibri"/>
                <w:noProof/>
                <w:sz w:val="20"/>
                <w:szCs w:val="20"/>
              </w:rPr>
              <w:t xml:space="preserve"> </w:t>
            </w:r>
            <w:r w:rsidR="00783086">
              <w:rPr>
                <w:rFonts w:ascii="Calibri" w:hAnsi="Calibri" w:cs="Calibri"/>
                <w:noProof/>
                <w:sz w:val="20"/>
                <w:szCs w:val="20"/>
              </w:rPr>
              <w:t>f</w:t>
            </w:r>
            <w:r w:rsidR="00E66BFF">
              <w:rPr>
                <w:rFonts w:ascii="Calibri" w:hAnsi="Calibri" w:cs="Calibri"/>
                <w:noProof/>
                <w:sz w:val="20"/>
                <w:szCs w:val="20"/>
              </w:rPr>
              <w:t xml:space="preserve">other </w:t>
            </w:r>
            <w:r w:rsidR="00783086">
              <w:rPr>
                <w:rFonts w:ascii="Calibri" w:hAnsi="Calibri" w:cs="Calibri"/>
                <w:noProof/>
                <w:sz w:val="20"/>
                <w:szCs w:val="20"/>
              </w:rPr>
              <w:t xml:space="preserve"> energy efficient technologies too in resorts for</w:t>
            </w:r>
            <w:r w:rsidR="00E66BFF">
              <w:rPr>
                <w:rFonts w:ascii="Calibri" w:hAnsi="Calibri" w:cs="Calibri"/>
                <w:noProof/>
                <w:sz w:val="20"/>
                <w:szCs w:val="20"/>
              </w:rPr>
              <w:t xml:space="preserve"> water heating, cooling/freezing applications, desalination, laundry and waste heat recovery. The estimates are given in the Table below. </w:t>
            </w:r>
          </w:p>
          <w:p w:rsidR="000D5083" w:rsidRDefault="000D5083" w:rsidP="00783086">
            <w:pPr>
              <w:jc w:val="both"/>
              <w:rPr>
                <w:rFonts w:ascii="Calibri" w:hAnsi="Calibri" w:cs="Calibri"/>
                <w:color w:val="000000"/>
                <w:sz w:val="20"/>
                <w:szCs w:val="20"/>
              </w:rPr>
            </w:pPr>
          </w:p>
        </w:tc>
      </w:tr>
      <w:tr w:rsidR="00783086" w:rsidRPr="00072B7E" w:rsidTr="00C30B1D">
        <w:trPr>
          <w:gridBefore w:val="1"/>
          <w:gridAfter w:val="5"/>
          <w:wBefore w:w="199" w:type="dxa"/>
          <w:wAfter w:w="4320" w:type="dxa"/>
          <w:trHeight w:val="269"/>
        </w:trPr>
        <w:tc>
          <w:tcPr>
            <w:tcW w:w="8820" w:type="dxa"/>
            <w:gridSpan w:val="6"/>
            <w:tcBorders>
              <w:top w:val="single" w:sz="4" w:space="0" w:color="auto"/>
              <w:left w:val="single" w:sz="4" w:space="0" w:color="auto"/>
              <w:bottom w:val="single" w:sz="4" w:space="0" w:color="000000"/>
              <w:right w:val="single" w:sz="4" w:space="0" w:color="auto"/>
            </w:tcBorders>
            <w:shd w:val="clear" w:color="auto" w:fill="auto"/>
            <w:vAlign w:val="center"/>
          </w:tcPr>
          <w:p w:rsidR="00783086" w:rsidRPr="00783086" w:rsidRDefault="00783086" w:rsidP="002810D5">
            <w:pPr>
              <w:jc w:val="center"/>
              <w:rPr>
                <w:rFonts w:ascii="Calibri" w:hAnsi="Calibri" w:cs="Calibri"/>
                <w:b/>
                <w:bCs/>
                <w:color w:val="000000"/>
                <w:sz w:val="16"/>
                <w:szCs w:val="16"/>
              </w:rPr>
            </w:pPr>
            <w:r w:rsidRPr="00783086">
              <w:rPr>
                <w:rFonts w:ascii="Calibri" w:hAnsi="Calibri" w:cs="Calibri"/>
                <w:b/>
                <w:bCs/>
                <w:color w:val="000000"/>
                <w:sz w:val="16"/>
                <w:szCs w:val="16"/>
              </w:rPr>
              <w:t xml:space="preserve">Estimated Energy Savings and GHG Emission Reduction from Energy Use </w:t>
            </w:r>
            <w:r w:rsidR="002959EC">
              <w:rPr>
                <w:rFonts w:ascii="Calibri" w:hAnsi="Calibri" w:cs="Calibri"/>
                <w:b/>
                <w:bCs/>
                <w:color w:val="000000"/>
                <w:sz w:val="16"/>
                <w:szCs w:val="16"/>
              </w:rPr>
              <w:t>(ADB-SREP Scoping study)</w:t>
            </w:r>
          </w:p>
        </w:tc>
      </w:tr>
      <w:tr w:rsidR="00C30B1D" w:rsidRPr="00072B7E" w:rsidTr="002810D5">
        <w:trPr>
          <w:gridBefore w:val="1"/>
          <w:gridAfter w:val="5"/>
          <w:wBefore w:w="199" w:type="dxa"/>
          <w:wAfter w:w="4320" w:type="dxa"/>
          <w:trHeight w:val="251"/>
        </w:trPr>
        <w:tc>
          <w:tcPr>
            <w:tcW w:w="1900" w:type="dxa"/>
            <w:vMerge w:val="restart"/>
            <w:tcBorders>
              <w:top w:val="single" w:sz="4" w:space="0" w:color="auto"/>
              <w:left w:val="single" w:sz="4" w:space="0" w:color="auto"/>
              <w:right w:val="single" w:sz="4" w:space="0" w:color="auto"/>
            </w:tcBorders>
            <w:shd w:val="clear" w:color="auto" w:fill="auto"/>
            <w:vAlign w:val="center"/>
          </w:tcPr>
          <w:p w:rsidR="00C30B1D" w:rsidRPr="00783086" w:rsidRDefault="00C30B1D" w:rsidP="002810D5">
            <w:pPr>
              <w:jc w:val="center"/>
              <w:rPr>
                <w:rFonts w:ascii="Calibri" w:hAnsi="Calibri" w:cs="Calibri"/>
                <w:b/>
                <w:bCs/>
                <w:color w:val="000000"/>
                <w:sz w:val="16"/>
                <w:szCs w:val="16"/>
              </w:rPr>
            </w:pPr>
            <w:r w:rsidRPr="00783086">
              <w:rPr>
                <w:rFonts w:ascii="Calibri" w:hAnsi="Calibri" w:cs="Calibri"/>
                <w:b/>
                <w:bCs/>
                <w:color w:val="000000"/>
                <w:sz w:val="16"/>
                <w:szCs w:val="16"/>
              </w:rPr>
              <w:t>Sectors/ Energy End-Use</w:t>
            </w:r>
          </w:p>
        </w:tc>
        <w:tc>
          <w:tcPr>
            <w:tcW w:w="1480" w:type="dxa"/>
            <w:vMerge w:val="restart"/>
            <w:tcBorders>
              <w:top w:val="single" w:sz="4" w:space="0" w:color="auto"/>
              <w:left w:val="single" w:sz="4" w:space="0" w:color="auto"/>
              <w:right w:val="single" w:sz="4" w:space="0" w:color="auto"/>
            </w:tcBorders>
            <w:shd w:val="clear" w:color="auto" w:fill="auto"/>
            <w:vAlign w:val="center"/>
          </w:tcPr>
          <w:p w:rsidR="00C30B1D" w:rsidRPr="00072B7E" w:rsidRDefault="00C30B1D" w:rsidP="00C30B1D">
            <w:pPr>
              <w:jc w:val="center"/>
              <w:rPr>
                <w:rFonts w:ascii="Calibri" w:hAnsi="Calibri" w:cs="Calibri"/>
                <w:b/>
                <w:bCs/>
                <w:color w:val="000000"/>
                <w:sz w:val="16"/>
                <w:szCs w:val="16"/>
              </w:rPr>
            </w:pPr>
            <w:r w:rsidRPr="00072B7E">
              <w:rPr>
                <w:rFonts w:ascii="Calibri" w:hAnsi="Calibri" w:cs="Calibri"/>
                <w:b/>
                <w:bCs/>
                <w:color w:val="000000"/>
                <w:sz w:val="16"/>
                <w:szCs w:val="16"/>
              </w:rPr>
              <w:t xml:space="preserve"> </w:t>
            </w:r>
            <w:r>
              <w:rPr>
                <w:rFonts w:ascii="Calibri" w:hAnsi="Calibri" w:cs="Calibri"/>
                <w:b/>
                <w:bCs/>
                <w:color w:val="000000"/>
                <w:sz w:val="16"/>
                <w:szCs w:val="16"/>
              </w:rPr>
              <w:t xml:space="preserve">Electricity Generation </w:t>
            </w:r>
            <w:r w:rsidRPr="00072B7E">
              <w:rPr>
                <w:rFonts w:ascii="Calibri" w:hAnsi="Calibri" w:cs="Calibri"/>
                <w:b/>
                <w:bCs/>
                <w:color w:val="000000"/>
                <w:sz w:val="16"/>
                <w:szCs w:val="16"/>
              </w:rPr>
              <w:t xml:space="preserve"> saved </w:t>
            </w:r>
            <w:r>
              <w:rPr>
                <w:rFonts w:ascii="Calibri" w:hAnsi="Calibri" w:cs="Calibri"/>
                <w:b/>
                <w:bCs/>
                <w:color w:val="000000"/>
                <w:sz w:val="16"/>
                <w:szCs w:val="16"/>
              </w:rPr>
              <w:t>(MWh)</w:t>
            </w:r>
          </w:p>
        </w:tc>
        <w:tc>
          <w:tcPr>
            <w:tcW w:w="1440" w:type="dxa"/>
            <w:vMerge w:val="restart"/>
            <w:tcBorders>
              <w:top w:val="single" w:sz="4" w:space="0" w:color="auto"/>
              <w:left w:val="single" w:sz="4" w:space="0" w:color="auto"/>
              <w:right w:val="single" w:sz="4" w:space="0" w:color="auto"/>
            </w:tcBorders>
            <w:shd w:val="clear" w:color="auto" w:fill="auto"/>
            <w:vAlign w:val="center"/>
          </w:tcPr>
          <w:p w:rsidR="00C30B1D" w:rsidRDefault="00C30B1D" w:rsidP="002810D5">
            <w:pPr>
              <w:jc w:val="center"/>
              <w:rPr>
                <w:rFonts w:ascii="Calibri" w:hAnsi="Calibri" w:cs="Calibri"/>
                <w:b/>
                <w:bCs/>
                <w:color w:val="000000"/>
                <w:sz w:val="16"/>
                <w:szCs w:val="16"/>
              </w:rPr>
            </w:pPr>
            <w:r w:rsidRPr="00072B7E">
              <w:rPr>
                <w:rFonts w:ascii="Calibri" w:hAnsi="Calibri" w:cs="Calibri"/>
                <w:b/>
                <w:bCs/>
                <w:color w:val="000000"/>
                <w:sz w:val="16"/>
                <w:szCs w:val="16"/>
              </w:rPr>
              <w:t xml:space="preserve">Diesel Saving </w:t>
            </w:r>
          </w:p>
          <w:p w:rsidR="00C30B1D" w:rsidRPr="00072B7E" w:rsidRDefault="00C30B1D" w:rsidP="00C30B1D">
            <w:pPr>
              <w:jc w:val="center"/>
              <w:rPr>
                <w:rFonts w:ascii="Calibri" w:hAnsi="Calibri" w:cs="Calibri"/>
                <w:b/>
                <w:bCs/>
                <w:color w:val="000000"/>
                <w:sz w:val="16"/>
                <w:szCs w:val="16"/>
              </w:rPr>
            </w:pPr>
            <w:r>
              <w:rPr>
                <w:rFonts w:ascii="Calibri" w:hAnsi="Calibri" w:cs="Calibri"/>
                <w:b/>
                <w:bCs/>
                <w:color w:val="000000"/>
                <w:sz w:val="16"/>
                <w:szCs w:val="16"/>
              </w:rPr>
              <w:t>(tons)</w:t>
            </w:r>
          </w:p>
        </w:tc>
        <w:tc>
          <w:tcPr>
            <w:tcW w:w="4000"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C30B1D" w:rsidRPr="00072B7E" w:rsidRDefault="00C30B1D" w:rsidP="002810D5">
            <w:pPr>
              <w:jc w:val="center"/>
              <w:rPr>
                <w:rFonts w:ascii="Calibri" w:hAnsi="Calibri" w:cs="Calibri"/>
                <w:b/>
                <w:bCs/>
                <w:color w:val="000000"/>
                <w:sz w:val="16"/>
                <w:szCs w:val="16"/>
              </w:rPr>
            </w:pPr>
            <w:r w:rsidRPr="00072B7E">
              <w:rPr>
                <w:rFonts w:ascii="Calibri" w:hAnsi="Calibri" w:cs="Calibri"/>
                <w:b/>
                <w:bCs/>
                <w:color w:val="000000"/>
                <w:sz w:val="16"/>
                <w:szCs w:val="16"/>
              </w:rPr>
              <w:t xml:space="preserve">GHG </w:t>
            </w:r>
            <w:r>
              <w:rPr>
                <w:rFonts w:ascii="Calibri" w:hAnsi="Calibri" w:cs="Calibri"/>
                <w:b/>
                <w:bCs/>
                <w:color w:val="000000"/>
                <w:sz w:val="16"/>
                <w:szCs w:val="16"/>
              </w:rPr>
              <w:t xml:space="preserve">Emissions </w:t>
            </w:r>
            <w:r w:rsidRPr="00072B7E">
              <w:rPr>
                <w:rFonts w:ascii="Calibri" w:hAnsi="Calibri" w:cs="Calibri"/>
                <w:b/>
                <w:bCs/>
                <w:color w:val="000000"/>
                <w:sz w:val="16"/>
                <w:szCs w:val="16"/>
              </w:rPr>
              <w:t>Reduction</w:t>
            </w:r>
          </w:p>
        </w:tc>
      </w:tr>
      <w:tr w:rsidR="00C30B1D" w:rsidRPr="00072B7E" w:rsidTr="002810D5">
        <w:trPr>
          <w:gridBefore w:val="1"/>
          <w:gridAfter w:val="5"/>
          <w:wBefore w:w="199" w:type="dxa"/>
          <w:wAfter w:w="4320" w:type="dxa"/>
          <w:trHeight w:val="251"/>
        </w:trPr>
        <w:tc>
          <w:tcPr>
            <w:tcW w:w="1900" w:type="dxa"/>
            <w:vMerge/>
            <w:tcBorders>
              <w:left w:val="single" w:sz="4" w:space="0" w:color="auto"/>
              <w:right w:val="single" w:sz="4" w:space="0" w:color="auto"/>
            </w:tcBorders>
            <w:shd w:val="clear" w:color="auto" w:fill="auto"/>
            <w:vAlign w:val="center"/>
            <w:hideMark/>
          </w:tcPr>
          <w:p w:rsidR="00C30B1D" w:rsidRPr="00072B7E" w:rsidRDefault="00C30B1D" w:rsidP="002810D5">
            <w:pPr>
              <w:jc w:val="center"/>
              <w:rPr>
                <w:rFonts w:ascii="Calibri" w:hAnsi="Calibri" w:cs="Calibri"/>
                <w:b/>
                <w:bCs/>
                <w:color w:val="000000"/>
                <w:sz w:val="16"/>
                <w:szCs w:val="16"/>
              </w:rPr>
            </w:pPr>
          </w:p>
        </w:tc>
        <w:tc>
          <w:tcPr>
            <w:tcW w:w="1480" w:type="dxa"/>
            <w:vMerge/>
            <w:tcBorders>
              <w:left w:val="single" w:sz="4" w:space="0" w:color="auto"/>
              <w:right w:val="single" w:sz="4" w:space="0" w:color="auto"/>
            </w:tcBorders>
            <w:shd w:val="clear" w:color="auto" w:fill="auto"/>
            <w:vAlign w:val="center"/>
            <w:hideMark/>
          </w:tcPr>
          <w:p w:rsidR="00C30B1D" w:rsidRPr="00072B7E" w:rsidRDefault="00C30B1D" w:rsidP="00C30B1D">
            <w:pPr>
              <w:jc w:val="center"/>
              <w:rPr>
                <w:rFonts w:ascii="Calibri" w:hAnsi="Calibri" w:cs="Calibri"/>
                <w:b/>
                <w:bCs/>
                <w:color w:val="000000"/>
                <w:sz w:val="16"/>
                <w:szCs w:val="16"/>
              </w:rPr>
            </w:pPr>
          </w:p>
        </w:tc>
        <w:tc>
          <w:tcPr>
            <w:tcW w:w="1440" w:type="dxa"/>
            <w:vMerge/>
            <w:tcBorders>
              <w:left w:val="single" w:sz="4" w:space="0" w:color="auto"/>
              <w:right w:val="single" w:sz="4" w:space="0" w:color="auto"/>
            </w:tcBorders>
            <w:shd w:val="clear" w:color="auto" w:fill="auto"/>
            <w:vAlign w:val="center"/>
            <w:hideMark/>
          </w:tcPr>
          <w:p w:rsidR="00C30B1D" w:rsidRPr="00072B7E" w:rsidRDefault="00C30B1D" w:rsidP="00C30B1D">
            <w:pPr>
              <w:jc w:val="center"/>
              <w:rPr>
                <w:rFonts w:ascii="Calibri" w:hAnsi="Calibri" w:cs="Calibri"/>
                <w:b/>
                <w:bCs/>
                <w:color w:val="000000"/>
                <w:sz w:val="16"/>
                <w:szCs w:val="16"/>
              </w:rPr>
            </w:pPr>
          </w:p>
        </w:tc>
        <w:tc>
          <w:tcPr>
            <w:tcW w:w="14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30B1D" w:rsidRDefault="00C30B1D" w:rsidP="002810D5">
            <w:pPr>
              <w:jc w:val="center"/>
              <w:rPr>
                <w:rFonts w:ascii="Calibri" w:hAnsi="Calibri" w:cs="Calibri"/>
                <w:b/>
                <w:bCs/>
                <w:color w:val="000000"/>
                <w:sz w:val="16"/>
                <w:szCs w:val="16"/>
              </w:rPr>
            </w:pPr>
            <w:r>
              <w:rPr>
                <w:rFonts w:ascii="Calibri" w:hAnsi="Calibri" w:cs="Calibri"/>
                <w:b/>
                <w:bCs/>
                <w:color w:val="000000"/>
                <w:sz w:val="16"/>
                <w:szCs w:val="16"/>
              </w:rPr>
              <w:t xml:space="preserve">Amount in </w:t>
            </w:r>
          </w:p>
          <w:p w:rsidR="00C30B1D" w:rsidRPr="00072B7E" w:rsidRDefault="00C30B1D" w:rsidP="002810D5">
            <w:pPr>
              <w:jc w:val="center"/>
              <w:rPr>
                <w:rFonts w:ascii="Calibri" w:hAnsi="Calibri" w:cs="Calibri"/>
                <w:b/>
                <w:bCs/>
                <w:color w:val="000000"/>
                <w:sz w:val="16"/>
                <w:szCs w:val="16"/>
              </w:rPr>
            </w:pPr>
            <w:r w:rsidRPr="00072B7E">
              <w:rPr>
                <w:rFonts w:ascii="Calibri" w:hAnsi="Calibri" w:cs="Calibri"/>
                <w:b/>
                <w:bCs/>
                <w:color w:val="000000"/>
                <w:sz w:val="16"/>
                <w:szCs w:val="16"/>
              </w:rPr>
              <w:t>tCO2</w:t>
            </w:r>
            <w:r>
              <w:rPr>
                <w:rFonts w:ascii="Calibri" w:hAnsi="Calibri" w:cs="Calibri"/>
                <w:b/>
                <w:bCs/>
                <w:color w:val="000000"/>
                <w:sz w:val="16"/>
                <w:szCs w:val="16"/>
              </w:rPr>
              <w:t>e</w:t>
            </w:r>
            <w:r w:rsidRPr="00072B7E">
              <w:rPr>
                <w:rFonts w:ascii="Calibri" w:hAnsi="Calibri" w:cs="Calibri"/>
                <w:b/>
                <w:bCs/>
                <w:color w:val="000000"/>
                <w:sz w:val="16"/>
                <w:szCs w:val="16"/>
              </w:rPr>
              <w:t xml:space="preserve"> </w:t>
            </w:r>
          </w:p>
        </w:tc>
        <w:tc>
          <w:tcPr>
            <w:tcW w:w="2540" w:type="dxa"/>
            <w:gridSpan w:val="2"/>
            <w:tcBorders>
              <w:top w:val="single" w:sz="4" w:space="0" w:color="auto"/>
              <w:left w:val="nil"/>
              <w:bottom w:val="single" w:sz="4" w:space="0" w:color="auto"/>
              <w:right w:val="single" w:sz="4" w:space="0" w:color="auto"/>
            </w:tcBorders>
            <w:shd w:val="clear" w:color="auto" w:fill="auto"/>
            <w:vAlign w:val="center"/>
            <w:hideMark/>
          </w:tcPr>
          <w:p w:rsidR="00C30B1D" w:rsidRPr="00072B7E" w:rsidRDefault="00C30B1D" w:rsidP="002810D5">
            <w:pPr>
              <w:jc w:val="center"/>
              <w:rPr>
                <w:rFonts w:ascii="Calibri" w:hAnsi="Calibri" w:cs="Calibri"/>
                <w:b/>
                <w:bCs/>
                <w:color w:val="000000"/>
                <w:sz w:val="16"/>
                <w:szCs w:val="16"/>
              </w:rPr>
            </w:pPr>
            <w:r>
              <w:rPr>
                <w:rFonts w:ascii="Calibri" w:hAnsi="Calibri" w:cs="Calibri"/>
                <w:b/>
                <w:bCs/>
                <w:color w:val="000000"/>
                <w:sz w:val="16"/>
                <w:szCs w:val="16"/>
              </w:rPr>
              <w:t xml:space="preserve">In </w:t>
            </w:r>
            <w:r w:rsidRPr="00072B7E">
              <w:rPr>
                <w:rFonts w:ascii="Calibri" w:hAnsi="Calibri" w:cs="Calibri"/>
                <w:b/>
                <w:bCs/>
                <w:color w:val="000000"/>
                <w:sz w:val="16"/>
                <w:szCs w:val="16"/>
              </w:rPr>
              <w:t>% of GHG  Emission</w:t>
            </w:r>
            <w:r>
              <w:rPr>
                <w:rFonts w:ascii="Calibri" w:hAnsi="Calibri" w:cs="Calibri"/>
                <w:b/>
                <w:bCs/>
                <w:color w:val="000000"/>
                <w:sz w:val="16"/>
                <w:szCs w:val="16"/>
              </w:rPr>
              <w:t>s</w:t>
            </w:r>
            <w:r w:rsidRPr="00072B7E">
              <w:rPr>
                <w:rFonts w:ascii="Calibri" w:hAnsi="Calibri" w:cs="Calibri"/>
                <w:b/>
                <w:bCs/>
                <w:color w:val="000000"/>
                <w:sz w:val="16"/>
                <w:szCs w:val="16"/>
              </w:rPr>
              <w:t xml:space="preserve"> , 2009</w:t>
            </w:r>
          </w:p>
        </w:tc>
      </w:tr>
      <w:tr w:rsidR="00C30B1D" w:rsidRPr="00072B7E" w:rsidTr="002810D5">
        <w:trPr>
          <w:gridBefore w:val="1"/>
          <w:gridAfter w:val="5"/>
          <w:wBefore w:w="199" w:type="dxa"/>
          <w:wAfter w:w="4320" w:type="dxa"/>
          <w:trHeight w:val="836"/>
        </w:trPr>
        <w:tc>
          <w:tcPr>
            <w:tcW w:w="1900" w:type="dxa"/>
            <w:vMerge/>
            <w:tcBorders>
              <w:left w:val="single" w:sz="4" w:space="0" w:color="auto"/>
              <w:bottom w:val="single" w:sz="4" w:space="0" w:color="000000"/>
              <w:right w:val="single" w:sz="4" w:space="0" w:color="auto"/>
            </w:tcBorders>
            <w:vAlign w:val="center"/>
            <w:hideMark/>
          </w:tcPr>
          <w:p w:rsidR="00C30B1D" w:rsidRPr="00072B7E" w:rsidRDefault="00C30B1D" w:rsidP="002810D5">
            <w:pPr>
              <w:rPr>
                <w:rFonts w:ascii="Calibri" w:hAnsi="Calibri" w:cs="Calibri"/>
                <w:b/>
                <w:bCs/>
                <w:color w:val="000000"/>
                <w:sz w:val="16"/>
                <w:szCs w:val="16"/>
              </w:rPr>
            </w:pPr>
          </w:p>
        </w:tc>
        <w:tc>
          <w:tcPr>
            <w:tcW w:w="1480" w:type="dxa"/>
            <w:vMerge/>
            <w:tcBorders>
              <w:left w:val="single" w:sz="4" w:space="0" w:color="auto"/>
              <w:bottom w:val="single" w:sz="4" w:space="0" w:color="000000"/>
              <w:right w:val="single" w:sz="4" w:space="0" w:color="auto"/>
            </w:tcBorders>
            <w:vAlign w:val="center"/>
            <w:hideMark/>
          </w:tcPr>
          <w:p w:rsidR="00C30B1D" w:rsidRPr="00072B7E" w:rsidRDefault="00C30B1D" w:rsidP="002810D5">
            <w:pPr>
              <w:rPr>
                <w:rFonts w:ascii="Calibri" w:hAnsi="Calibri" w:cs="Calibri"/>
                <w:b/>
                <w:bCs/>
                <w:color w:val="000000"/>
                <w:sz w:val="16"/>
                <w:szCs w:val="16"/>
              </w:rPr>
            </w:pPr>
          </w:p>
        </w:tc>
        <w:tc>
          <w:tcPr>
            <w:tcW w:w="1440" w:type="dxa"/>
            <w:vMerge/>
            <w:tcBorders>
              <w:left w:val="single" w:sz="4" w:space="0" w:color="auto"/>
              <w:bottom w:val="single" w:sz="4" w:space="0" w:color="000000"/>
              <w:right w:val="single" w:sz="4" w:space="0" w:color="auto"/>
            </w:tcBorders>
            <w:vAlign w:val="center"/>
            <w:hideMark/>
          </w:tcPr>
          <w:p w:rsidR="00C30B1D" w:rsidRPr="00072B7E" w:rsidRDefault="00C30B1D" w:rsidP="002810D5">
            <w:pPr>
              <w:rPr>
                <w:rFonts w:ascii="Calibri" w:hAnsi="Calibri" w:cs="Calibri"/>
                <w:b/>
                <w:bCs/>
                <w:color w:val="000000"/>
                <w:sz w:val="16"/>
                <w:szCs w:val="16"/>
              </w:rPr>
            </w:pPr>
          </w:p>
        </w:tc>
        <w:tc>
          <w:tcPr>
            <w:tcW w:w="1460" w:type="dxa"/>
            <w:vMerge/>
            <w:tcBorders>
              <w:top w:val="single" w:sz="4" w:space="0" w:color="auto"/>
              <w:left w:val="single" w:sz="4" w:space="0" w:color="auto"/>
              <w:bottom w:val="single" w:sz="4" w:space="0" w:color="000000"/>
              <w:right w:val="single" w:sz="4" w:space="0" w:color="auto"/>
            </w:tcBorders>
            <w:vAlign w:val="center"/>
            <w:hideMark/>
          </w:tcPr>
          <w:p w:rsidR="00C30B1D" w:rsidRPr="00072B7E" w:rsidRDefault="00C30B1D" w:rsidP="002810D5">
            <w:pPr>
              <w:rPr>
                <w:rFonts w:ascii="Calibri" w:hAnsi="Calibri" w:cs="Calibri"/>
                <w:b/>
                <w:bCs/>
                <w:color w:val="000000"/>
                <w:sz w:val="16"/>
                <w:szCs w:val="16"/>
              </w:rPr>
            </w:pPr>
          </w:p>
        </w:tc>
        <w:tc>
          <w:tcPr>
            <w:tcW w:w="1080" w:type="dxa"/>
            <w:tcBorders>
              <w:top w:val="nil"/>
              <w:left w:val="nil"/>
              <w:bottom w:val="single" w:sz="4" w:space="0" w:color="auto"/>
              <w:right w:val="single" w:sz="4" w:space="0" w:color="auto"/>
            </w:tcBorders>
            <w:shd w:val="clear" w:color="auto" w:fill="auto"/>
            <w:vAlign w:val="center"/>
            <w:hideMark/>
          </w:tcPr>
          <w:p w:rsidR="00C30B1D" w:rsidRDefault="00C30B1D" w:rsidP="00C30B1D">
            <w:pPr>
              <w:jc w:val="center"/>
              <w:rPr>
                <w:rFonts w:ascii="Calibri" w:hAnsi="Calibri" w:cs="Calibri"/>
                <w:color w:val="000000"/>
                <w:sz w:val="16"/>
                <w:szCs w:val="16"/>
              </w:rPr>
            </w:pPr>
            <w:r w:rsidRPr="00072B7E">
              <w:rPr>
                <w:rFonts w:ascii="Calibri" w:hAnsi="Calibri" w:cs="Calibri"/>
                <w:color w:val="000000"/>
                <w:sz w:val="16"/>
                <w:szCs w:val="16"/>
              </w:rPr>
              <w:t>Total GHG emissions</w:t>
            </w:r>
          </w:p>
          <w:p w:rsidR="00C30B1D" w:rsidRPr="00072B7E" w:rsidRDefault="00C30B1D" w:rsidP="00C30B1D">
            <w:pPr>
              <w:rPr>
                <w:rFonts w:ascii="Calibri" w:hAnsi="Calibri" w:cs="Calibri"/>
                <w:color w:val="000000"/>
                <w:sz w:val="16"/>
                <w:szCs w:val="16"/>
              </w:rPr>
            </w:pPr>
            <w:r>
              <w:rPr>
                <w:rFonts w:ascii="Calibri" w:hAnsi="Calibri" w:cs="Calibri"/>
                <w:color w:val="000000"/>
                <w:sz w:val="16"/>
                <w:szCs w:val="16"/>
              </w:rPr>
              <w:t>(=</w:t>
            </w:r>
            <w:r w:rsidRPr="00072B7E">
              <w:rPr>
                <w:rFonts w:ascii="Calibri" w:hAnsi="Calibri" w:cs="Calibri"/>
                <w:color w:val="000000"/>
                <w:sz w:val="16"/>
                <w:szCs w:val="16"/>
              </w:rPr>
              <w:t xml:space="preserve"> 1.3 tCO2e</w:t>
            </w:r>
            <w:r>
              <w:rPr>
                <w:rFonts w:ascii="Calibri" w:hAnsi="Calibri" w:cs="Calibri"/>
                <w:color w:val="000000"/>
                <w:sz w:val="16"/>
                <w:szCs w:val="16"/>
              </w:rPr>
              <w:t>)</w:t>
            </w:r>
          </w:p>
        </w:tc>
        <w:tc>
          <w:tcPr>
            <w:tcW w:w="1460" w:type="dxa"/>
            <w:tcBorders>
              <w:top w:val="nil"/>
              <w:left w:val="nil"/>
              <w:bottom w:val="single" w:sz="4" w:space="0" w:color="auto"/>
              <w:right w:val="single" w:sz="4" w:space="0" w:color="auto"/>
            </w:tcBorders>
            <w:shd w:val="clear" w:color="auto" w:fill="auto"/>
            <w:vAlign w:val="center"/>
            <w:hideMark/>
          </w:tcPr>
          <w:p w:rsidR="00C30B1D" w:rsidRDefault="00C30B1D" w:rsidP="00C30B1D">
            <w:pPr>
              <w:jc w:val="center"/>
              <w:rPr>
                <w:rFonts w:ascii="Calibri" w:hAnsi="Calibri" w:cs="Calibri"/>
                <w:color w:val="000000"/>
                <w:sz w:val="16"/>
                <w:szCs w:val="16"/>
              </w:rPr>
            </w:pPr>
            <w:r w:rsidRPr="00072B7E">
              <w:rPr>
                <w:rFonts w:ascii="Calibri" w:hAnsi="Calibri" w:cs="Calibri"/>
                <w:color w:val="000000"/>
                <w:sz w:val="16"/>
                <w:szCs w:val="16"/>
              </w:rPr>
              <w:t>GHG emissions from electricity generation</w:t>
            </w:r>
          </w:p>
          <w:p w:rsidR="00C30B1D" w:rsidRPr="00072B7E" w:rsidRDefault="00C30B1D" w:rsidP="00C30B1D">
            <w:pPr>
              <w:rPr>
                <w:rFonts w:ascii="Calibri" w:hAnsi="Calibri" w:cs="Calibri"/>
                <w:color w:val="000000"/>
                <w:sz w:val="16"/>
                <w:szCs w:val="16"/>
              </w:rPr>
            </w:pPr>
            <w:r>
              <w:rPr>
                <w:rFonts w:ascii="Calibri" w:hAnsi="Calibri" w:cs="Calibri"/>
                <w:color w:val="000000"/>
                <w:sz w:val="16"/>
                <w:szCs w:val="16"/>
              </w:rPr>
              <w:t>(= 0.51 MTCO2e)</w:t>
            </w:r>
          </w:p>
        </w:tc>
      </w:tr>
      <w:tr w:rsidR="00C30B1D" w:rsidRPr="00072B7E" w:rsidTr="00C30B1D">
        <w:trPr>
          <w:gridBefore w:val="1"/>
          <w:wBefore w:w="199" w:type="dxa"/>
          <w:trHeight w:val="260"/>
        </w:trPr>
        <w:tc>
          <w:tcPr>
            <w:tcW w:w="882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Energy Savings in Residential, Institutional, Commercial Buildings</w:t>
            </w:r>
          </w:p>
        </w:tc>
        <w:tc>
          <w:tcPr>
            <w:tcW w:w="1080" w:type="dxa"/>
            <w:gridSpan w:val="2"/>
          </w:tcPr>
          <w:p w:rsidR="00C30B1D" w:rsidRPr="00072B7E" w:rsidRDefault="00C30B1D">
            <w:pPr>
              <w:rPr>
                <w:sz w:val="20"/>
                <w:szCs w:val="20"/>
              </w:rPr>
            </w:pPr>
          </w:p>
        </w:tc>
        <w:tc>
          <w:tcPr>
            <w:tcW w:w="1080" w:type="dxa"/>
          </w:tcPr>
          <w:p w:rsidR="00C30B1D" w:rsidRPr="00072B7E" w:rsidRDefault="00C30B1D">
            <w:pPr>
              <w:rPr>
                <w:sz w:val="20"/>
                <w:szCs w:val="20"/>
              </w:rPr>
            </w:pPr>
          </w:p>
        </w:tc>
        <w:tc>
          <w:tcPr>
            <w:tcW w:w="1080" w:type="dxa"/>
          </w:tcPr>
          <w:p w:rsidR="00C30B1D" w:rsidRPr="00072B7E" w:rsidRDefault="00C30B1D">
            <w:pPr>
              <w:rPr>
                <w:sz w:val="20"/>
                <w:szCs w:val="20"/>
              </w:rPr>
            </w:pPr>
          </w:p>
        </w:tc>
        <w:tc>
          <w:tcPr>
            <w:tcW w:w="1080" w:type="dxa"/>
            <w:tcBorders>
              <w:top w:val="nil"/>
              <w:left w:val="nil"/>
              <w:bottom w:val="single" w:sz="4" w:space="0" w:color="auto"/>
              <w:right w:val="single" w:sz="4" w:space="0" w:color="auto"/>
            </w:tcBorders>
            <w:shd w:val="clear" w:color="auto" w:fill="auto"/>
            <w:vAlign w:val="center"/>
          </w:tcPr>
          <w:p w:rsidR="00C30B1D" w:rsidRPr="00072B7E" w:rsidRDefault="00C30B1D">
            <w:pPr>
              <w:rPr>
                <w:sz w:val="20"/>
                <w:szCs w:val="20"/>
              </w:rPr>
            </w:pPr>
            <w:r w:rsidRPr="00072B7E">
              <w:rPr>
                <w:rFonts w:ascii="Calibri" w:hAnsi="Calibri" w:cs="Calibri"/>
                <w:color w:val="000000"/>
                <w:sz w:val="16"/>
                <w:szCs w:val="16"/>
              </w:rPr>
              <w:t>2</w:t>
            </w:r>
          </w:p>
        </w:tc>
      </w:tr>
      <w:tr w:rsidR="00C30B1D" w:rsidRPr="00072B7E" w:rsidTr="00C30B1D">
        <w:trPr>
          <w:gridBefore w:val="1"/>
          <w:gridAfter w:val="5"/>
          <w:wBefore w:w="199" w:type="dxa"/>
          <w:wAfter w:w="4320" w:type="dxa"/>
          <w:trHeight w:val="161"/>
        </w:trPr>
        <w:tc>
          <w:tcPr>
            <w:tcW w:w="1900" w:type="dxa"/>
            <w:tcBorders>
              <w:top w:val="nil"/>
              <w:left w:val="single" w:sz="4" w:space="0" w:color="auto"/>
              <w:bottom w:val="single" w:sz="4" w:space="0" w:color="auto"/>
              <w:right w:val="nil"/>
            </w:tcBorders>
            <w:shd w:val="clear" w:color="auto" w:fill="auto"/>
            <w:vAlign w:val="center"/>
            <w:hideMark/>
          </w:tcPr>
          <w:p w:rsidR="00C30B1D" w:rsidRPr="00072B7E" w:rsidRDefault="00C30B1D" w:rsidP="00783086">
            <w:pPr>
              <w:ind w:firstLineChars="100" w:firstLine="160"/>
              <w:rPr>
                <w:rFonts w:ascii="Calibri" w:hAnsi="Calibri" w:cs="Calibri"/>
                <w:color w:val="000000"/>
                <w:sz w:val="16"/>
                <w:szCs w:val="16"/>
              </w:rPr>
            </w:pPr>
            <w:r w:rsidRPr="00072B7E">
              <w:rPr>
                <w:rFonts w:ascii="Calibri" w:hAnsi="Calibri" w:cs="Calibri"/>
                <w:color w:val="000000"/>
                <w:sz w:val="16"/>
                <w:szCs w:val="16"/>
              </w:rPr>
              <w:t xml:space="preserve">Air Conditioners </w:t>
            </w:r>
          </w:p>
        </w:tc>
        <w:tc>
          <w:tcPr>
            <w:tcW w:w="1480" w:type="dxa"/>
            <w:tcBorders>
              <w:top w:val="nil"/>
              <w:left w:val="single" w:sz="4" w:space="0" w:color="auto"/>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29,430 </w:t>
            </w:r>
          </w:p>
        </w:tc>
        <w:tc>
          <w:tcPr>
            <w:tcW w:w="144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7,063 </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25,427 </w:t>
            </w:r>
          </w:p>
        </w:tc>
        <w:tc>
          <w:tcPr>
            <w:tcW w:w="108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color w:val="000000"/>
                <w:sz w:val="16"/>
                <w:szCs w:val="16"/>
              </w:rPr>
              <w:t>1.7</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color w:val="000000"/>
                <w:sz w:val="16"/>
                <w:szCs w:val="16"/>
              </w:rPr>
              <w:t>5.1</w:t>
            </w:r>
          </w:p>
        </w:tc>
      </w:tr>
      <w:tr w:rsidR="00C30B1D" w:rsidRPr="00072B7E" w:rsidTr="00C30B1D">
        <w:trPr>
          <w:gridBefore w:val="1"/>
          <w:gridAfter w:val="5"/>
          <w:wBefore w:w="199" w:type="dxa"/>
          <w:wAfter w:w="4320" w:type="dxa"/>
          <w:trHeight w:val="161"/>
        </w:trPr>
        <w:tc>
          <w:tcPr>
            <w:tcW w:w="1900" w:type="dxa"/>
            <w:tcBorders>
              <w:top w:val="nil"/>
              <w:left w:val="single" w:sz="4" w:space="0" w:color="auto"/>
              <w:bottom w:val="single" w:sz="4" w:space="0" w:color="auto"/>
              <w:right w:val="nil"/>
            </w:tcBorders>
            <w:shd w:val="clear" w:color="auto" w:fill="auto"/>
            <w:vAlign w:val="center"/>
            <w:hideMark/>
          </w:tcPr>
          <w:p w:rsidR="00C30B1D" w:rsidRPr="00072B7E" w:rsidRDefault="00C30B1D" w:rsidP="00783086">
            <w:pPr>
              <w:ind w:firstLineChars="100" w:firstLine="160"/>
              <w:rPr>
                <w:rFonts w:ascii="Calibri" w:hAnsi="Calibri" w:cs="Calibri"/>
                <w:color w:val="000000"/>
                <w:sz w:val="16"/>
                <w:szCs w:val="16"/>
              </w:rPr>
            </w:pPr>
            <w:r w:rsidRPr="00072B7E">
              <w:rPr>
                <w:rFonts w:ascii="Calibri" w:hAnsi="Calibri" w:cs="Calibri"/>
                <w:color w:val="000000"/>
                <w:sz w:val="16"/>
                <w:szCs w:val="16"/>
              </w:rPr>
              <w:t xml:space="preserve">Refrigerators </w:t>
            </w:r>
          </w:p>
        </w:tc>
        <w:tc>
          <w:tcPr>
            <w:tcW w:w="1480" w:type="dxa"/>
            <w:tcBorders>
              <w:top w:val="nil"/>
              <w:left w:val="single" w:sz="4" w:space="0" w:color="auto"/>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25,160 </w:t>
            </w:r>
          </w:p>
        </w:tc>
        <w:tc>
          <w:tcPr>
            <w:tcW w:w="144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6,038 </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21,737 </w:t>
            </w:r>
          </w:p>
        </w:tc>
        <w:tc>
          <w:tcPr>
            <w:tcW w:w="108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color w:val="000000"/>
                <w:sz w:val="16"/>
                <w:szCs w:val="16"/>
              </w:rPr>
              <w:t>5.7</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color w:val="000000"/>
                <w:sz w:val="16"/>
                <w:szCs w:val="16"/>
              </w:rPr>
              <w:t>4.3</w:t>
            </w:r>
          </w:p>
        </w:tc>
      </w:tr>
      <w:tr w:rsidR="00C30B1D" w:rsidRPr="00072B7E" w:rsidTr="00C30B1D">
        <w:trPr>
          <w:gridBefore w:val="1"/>
          <w:gridAfter w:val="5"/>
          <w:wBefore w:w="199" w:type="dxa"/>
          <w:wAfter w:w="4320" w:type="dxa"/>
          <w:trHeight w:val="161"/>
        </w:trPr>
        <w:tc>
          <w:tcPr>
            <w:tcW w:w="1900" w:type="dxa"/>
            <w:tcBorders>
              <w:top w:val="nil"/>
              <w:left w:val="single" w:sz="4" w:space="0" w:color="auto"/>
              <w:bottom w:val="single" w:sz="4" w:space="0" w:color="auto"/>
              <w:right w:val="nil"/>
            </w:tcBorders>
            <w:shd w:val="clear" w:color="auto" w:fill="auto"/>
            <w:vAlign w:val="center"/>
            <w:hideMark/>
          </w:tcPr>
          <w:p w:rsidR="00C30B1D" w:rsidRPr="00072B7E" w:rsidRDefault="00C30B1D" w:rsidP="00783086">
            <w:pPr>
              <w:ind w:firstLineChars="100" w:firstLine="160"/>
              <w:rPr>
                <w:rFonts w:ascii="Calibri" w:hAnsi="Calibri" w:cs="Calibri"/>
                <w:color w:val="000000"/>
                <w:sz w:val="16"/>
                <w:szCs w:val="16"/>
              </w:rPr>
            </w:pPr>
            <w:r w:rsidRPr="00072B7E">
              <w:rPr>
                <w:rFonts w:ascii="Calibri" w:hAnsi="Calibri" w:cs="Calibri"/>
                <w:color w:val="000000"/>
                <w:sz w:val="16"/>
                <w:szCs w:val="16"/>
              </w:rPr>
              <w:t xml:space="preserve">Pumps </w:t>
            </w:r>
          </w:p>
        </w:tc>
        <w:tc>
          <w:tcPr>
            <w:tcW w:w="1480" w:type="dxa"/>
            <w:tcBorders>
              <w:top w:val="nil"/>
              <w:left w:val="single" w:sz="4" w:space="0" w:color="auto"/>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86,120 </w:t>
            </w:r>
          </w:p>
        </w:tc>
        <w:tc>
          <w:tcPr>
            <w:tcW w:w="144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20,668 </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color w:val="000000"/>
                <w:sz w:val="16"/>
                <w:szCs w:val="16"/>
              </w:rPr>
            </w:pPr>
            <w:r w:rsidRPr="00072B7E">
              <w:rPr>
                <w:rFonts w:ascii="Calibri" w:hAnsi="Calibri" w:cs="Calibri"/>
                <w:color w:val="000000"/>
                <w:sz w:val="16"/>
                <w:szCs w:val="16"/>
              </w:rPr>
              <w:t xml:space="preserve">                 74,405 </w:t>
            </w:r>
          </w:p>
        </w:tc>
        <w:tc>
          <w:tcPr>
            <w:tcW w:w="108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bCs/>
                <w:color w:val="000000"/>
                <w:sz w:val="16"/>
                <w:szCs w:val="16"/>
              </w:rPr>
              <w:t>9.4</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color w:val="000000"/>
                <w:sz w:val="16"/>
                <w:szCs w:val="16"/>
              </w:rPr>
            </w:pPr>
            <w:r w:rsidRPr="00072B7E">
              <w:rPr>
                <w:rFonts w:ascii="Calibri" w:hAnsi="Calibri" w:cs="Calibri"/>
                <w:color w:val="000000"/>
                <w:sz w:val="16"/>
                <w:szCs w:val="16"/>
              </w:rPr>
              <w:t>14.5</w:t>
            </w:r>
          </w:p>
        </w:tc>
      </w:tr>
      <w:tr w:rsidR="00C30B1D" w:rsidRPr="00072B7E" w:rsidTr="00C30B1D">
        <w:trPr>
          <w:gridBefore w:val="1"/>
          <w:gridAfter w:val="5"/>
          <w:wBefore w:w="199" w:type="dxa"/>
          <w:wAfter w:w="4320" w:type="dxa"/>
          <w:trHeight w:val="152"/>
        </w:trPr>
        <w:tc>
          <w:tcPr>
            <w:tcW w:w="1900" w:type="dxa"/>
            <w:tcBorders>
              <w:top w:val="nil"/>
              <w:left w:val="single" w:sz="4" w:space="0" w:color="auto"/>
              <w:bottom w:val="single" w:sz="4" w:space="0" w:color="auto"/>
              <w:right w:val="nil"/>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Sub Total </w:t>
            </w:r>
          </w:p>
        </w:tc>
        <w:tc>
          <w:tcPr>
            <w:tcW w:w="1480" w:type="dxa"/>
            <w:tcBorders>
              <w:top w:val="nil"/>
              <w:left w:val="single" w:sz="4" w:space="0" w:color="auto"/>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140,710 </w:t>
            </w:r>
          </w:p>
        </w:tc>
        <w:tc>
          <w:tcPr>
            <w:tcW w:w="144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33,769 </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121,569 </w:t>
            </w:r>
          </w:p>
        </w:tc>
        <w:tc>
          <w:tcPr>
            <w:tcW w:w="108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bCs/>
                <w:color w:val="000000"/>
                <w:sz w:val="16"/>
                <w:szCs w:val="16"/>
              </w:rPr>
            </w:pPr>
            <w:r w:rsidRPr="00072B7E">
              <w:rPr>
                <w:rFonts w:ascii="Calibri" w:hAnsi="Calibri" w:cs="Calibri"/>
                <w:bCs/>
                <w:color w:val="000000"/>
                <w:sz w:val="16"/>
                <w:szCs w:val="16"/>
              </w:rPr>
              <w:t>9.4</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bCs/>
                <w:color w:val="000000"/>
                <w:sz w:val="16"/>
                <w:szCs w:val="16"/>
              </w:rPr>
            </w:pPr>
            <w:r w:rsidRPr="00072B7E">
              <w:rPr>
                <w:rFonts w:ascii="Calibri" w:hAnsi="Calibri" w:cs="Calibri"/>
                <w:bCs/>
                <w:color w:val="000000"/>
                <w:sz w:val="16"/>
                <w:szCs w:val="16"/>
              </w:rPr>
              <w:t>23.9</w:t>
            </w:r>
          </w:p>
        </w:tc>
      </w:tr>
      <w:tr w:rsidR="00C30B1D" w:rsidRPr="00072B7E" w:rsidTr="00C30B1D">
        <w:trPr>
          <w:gridBefore w:val="1"/>
          <w:wBefore w:w="199" w:type="dxa"/>
          <w:trHeight w:val="395"/>
        </w:trPr>
        <w:tc>
          <w:tcPr>
            <w:tcW w:w="882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 xml:space="preserve">Energy saving in Resorts </w:t>
            </w:r>
            <w:r w:rsidRPr="00072B7E">
              <w:rPr>
                <w:rFonts w:ascii="Calibri" w:hAnsi="Calibri" w:cs="Calibri"/>
                <w:color w:val="000000"/>
                <w:sz w:val="16"/>
                <w:szCs w:val="16"/>
              </w:rPr>
              <w:t>(includes air-</w:t>
            </w:r>
            <w:r w:rsidRPr="00783086">
              <w:rPr>
                <w:rFonts w:ascii="Calibri" w:hAnsi="Calibri" w:cs="Calibri"/>
                <w:color w:val="000000"/>
                <w:sz w:val="16"/>
                <w:szCs w:val="16"/>
              </w:rPr>
              <w:t>conditioners</w:t>
            </w:r>
            <w:r w:rsidRPr="00072B7E">
              <w:rPr>
                <w:rFonts w:ascii="Calibri" w:hAnsi="Calibri" w:cs="Calibri"/>
                <w:color w:val="000000"/>
                <w:sz w:val="16"/>
                <w:szCs w:val="16"/>
              </w:rPr>
              <w:t xml:space="preserve">, refrigerators, pumps, water heating, freezing/cooling, desalination, laundry, </w:t>
            </w:r>
            <w:r w:rsidRPr="00783086">
              <w:rPr>
                <w:rFonts w:ascii="Calibri" w:hAnsi="Calibri" w:cs="Calibri"/>
                <w:color w:val="000000"/>
                <w:sz w:val="16"/>
                <w:szCs w:val="16"/>
              </w:rPr>
              <w:t>efficient lighting, waste heat recovery</w:t>
            </w:r>
            <w:r w:rsidRPr="00072B7E">
              <w:rPr>
                <w:rFonts w:ascii="Calibri" w:hAnsi="Calibri" w:cs="Calibri"/>
                <w:color w:val="000000"/>
                <w:sz w:val="16"/>
                <w:szCs w:val="16"/>
              </w:rPr>
              <w:t xml:space="preserve">). </w:t>
            </w:r>
          </w:p>
        </w:tc>
        <w:tc>
          <w:tcPr>
            <w:tcW w:w="1080" w:type="dxa"/>
            <w:gridSpan w:val="2"/>
          </w:tcPr>
          <w:p w:rsidR="00C30B1D" w:rsidRPr="00072B7E" w:rsidRDefault="00C30B1D">
            <w:pPr>
              <w:rPr>
                <w:sz w:val="20"/>
                <w:szCs w:val="20"/>
              </w:rPr>
            </w:pPr>
          </w:p>
        </w:tc>
        <w:tc>
          <w:tcPr>
            <w:tcW w:w="1080" w:type="dxa"/>
          </w:tcPr>
          <w:p w:rsidR="00C30B1D" w:rsidRPr="00072B7E" w:rsidRDefault="00C30B1D">
            <w:pPr>
              <w:rPr>
                <w:sz w:val="20"/>
                <w:szCs w:val="20"/>
              </w:rPr>
            </w:pPr>
          </w:p>
        </w:tc>
        <w:tc>
          <w:tcPr>
            <w:tcW w:w="1080" w:type="dxa"/>
          </w:tcPr>
          <w:p w:rsidR="00C30B1D" w:rsidRPr="00072B7E" w:rsidRDefault="00C30B1D">
            <w:pPr>
              <w:rPr>
                <w:sz w:val="20"/>
                <w:szCs w:val="20"/>
              </w:rPr>
            </w:pPr>
          </w:p>
        </w:tc>
        <w:tc>
          <w:tcPr>
            <w:tcW w:w="1080" w:type="dxa"/>
            <w:tcBorders>
              <w:top w:val="nil"/>
              <w:left w:val="nil"/>
              <w:bottom w:val="single" w:sz="4" w:space="0" w:color="auto"/>
              <w:right w:val="single" w:sz="4" w:space="0" w:color="auto"/>
            </w:tcBorders>
            <w:shd w:val="clear" w:color="auto" w:fill="auto"/>
            <w:vAlign w:val="center"/>
          </w:tcPr>
          <w:p w:rsidR="00C30B1D" w:rsidRPr="00072B7E" w:rsidRDefault="00C30B1D">
            <w:pPr>
              <w:rPr>
                <w:sz w:val="20"/>
                <w:szCs w:val="20"/>
              </w:rPr>
            </w:pPr>
            <w:r w:rsidRPr="00072B7E">
              <w:rPr>
                <w:rFonts w:ascii="Calibri" w:hAnsi="Calibri" w:cs="Calibri"/>
                <w:bCs/>
                <w:color w:val="000000"/>
                <w:sz w:val="16"/>
                <w:szCs w:val="16"/>
              </w:rPr>
              <w:t>3.5</w:t>
            </w:r>
          </w:p>
        </w:tc>
      </w:tr>
      <w:tr w:rsidR="00C30B1D" w:rsidRPr="00072B7E" w:rsidTr="00C30B1D">
        <w:trPr>
          <w:gridBefore w:val="1"/>
          <w:gridAfter w:val="5"/>
          <w:wBefore w:w="199" w:type="dxa"/>
          <w:wAfter w:w="4320" w:type="dxa"/>
          <w:trHeight w:val="170"/>
        </w:trPr>
        <w:tc>
          <w:tcPr>
            <w:tcW w:w="1900" w:type="dxa"/>
            <w:tcBorders>
              <w:top w:val="nil"/>
              <w:left w:val="single" w:sz="4" w:space="0" w:color="auto"/>
              <w:bottom w:val="single" w:sz="4" w:space="0" w:color="auto"/>
              <w:right w:val="nil"/>
            </w:tcBorders>
            <w:shd w:val="clear" w:color="auto" w:fill="auto"/>
            <w:vAlign w:val="center"/>
            <w:hideMark/>
          </w:tcPr>
          <w:p w:rsidR="00C30B1D" w:rsidRPr="00072B7E" w:rsidRDefault="00C30B1D" w:rsidP="002810D5">
            <w:pPr>
              <w:rPr>
                <w:rFonts w:ascii="Calibri" w:hAnsi="Calibri" w:cs="Calibri"/>
                <w:b/>
                <w:bCs/>
                <w:color w:val="000000"/>
                <w:sz w:val="16"/>
                <w:szCs w:val="16"/>
              </w:rPr>
            </w:pPr>
          </w:p>
        </w:tc>
        <w:tc>
          <w:tcPr>
            <w:tcW w:w="1480" w:type="dxa"/>
            <w:tcBorders>
              <w:top w:val="nil"/>
              <w:left w:val="single" w:sz="4" w:space="0" w:color="auto"/>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52,500 </w:t>
            </w:r>
          </w:p>
        </w:tc>
        <w:tc>
          <w:tcPr>
            <w:tcW w:w="144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12,600 </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rPr>
                <w:rFonts w:ascii="Calibri" w:hAnsi="Calibri" w:cs="Calibri"/>
                <w:bCs/>
                <w:color w:val="000000"/>
                <w:sz w:val="16"/>
                <w:szCs w:val="16"/>
              </w:rPr>
            </w:pPr>
            <w:r w:rsidRPr="00072B7E">
              <w:rPr>
                <w:rFonts w:ascii="Calibri" w:hAnsi="Calibri" w:cs="Calibri"/>
                <w:bCs/>
                <w:color w:val="000000"/>
                <w:sz w:val="16"/>
                <w:szCs w:val="16"/>
              </w:rPr>
              <w:t xml:space="preserve">                 45,360 </w:t>
            </w:r>
          </w:p>
        </w:tc>
        <w:tc>
          <w:tcPr>
            <w:tcW w:w="1080" w:type="dxa"/>
            <w:tcBorders>
              <w:top w:val="nil"/>
              <w:left w:val="nil"/>
              <w:bottom w:val="single" w:sz="4" w:space="0" w:color="auto"/>
              <w:right w:val="single" w:sz="4" w:space="0" w:color="auto"/>
            </w:tcBorders>
            <w:shd w:val="clear" w:color="auto" w:fill="auto"/>
            <w:vAlign w:val="bottom"/>
            <w:hideMark/>
          </w:tcPr>
          <w:p w:rsidR="00C30B1D" w:rsidRPr="00072B7E" w:rsidRDefault="00C30B1D" w:rsidP="002810D5">
            <w:pPr>
              <w:jc w:val="right"/>
              <w:rPr>
                <w:rFonts w:ascii="Calibri" w:hAnsi="Calibri" w:cs="Calibri"/>
                <w:bCs/>
                <w:color w:val="000000"/>
                <w:sz w:val="16"/>
                <w:szCs w:val="16"/>
              </w:rPr>
            </w:pPr>
            <w:r w:rsidRPr="00072B7E">
              <w:rPr>
                <w:rFonts w:ascii="Calibri" w:hAnsi="Calibri" w:cs="Calibri"/>
                <w:b/>
                <w:bCs/>
                <w:color w:val="000000"/>
                <w:sz w:val="16"/>
                <w:szCs w:val="16"/>
              </w:rPr>
              <w:t>22.3</w:t>
            </w:r>
          </w:p>
        </w:tc>
        <w:tc>
          <w:tcPr>
            <w:tcW w:w="1460" w:type="dxa"/>
            <w:tcBorders>
              <w:top w:val="nil"/>
              <w:left w:val="nil"/>
              <w:bottom w:val="single" w:sz="4" w:space="0" w:color="auto"/>
              <w:right w:val="single" w:sz="4" w:space="0" w:color="auto"/>
            </w:tcBorders>
            <w:shd w:val="clear" w:color="auto" w:fill="auto"/>
            <w:vAlign w:val="center"/>
            <w:hideMark/>
          </w:tcPr>
          <w:p w:rsidR="00C30B1D" w:rsidRPr="00072B7E" w:rsidRDefault="00C30B1D" w:rsidP="002810D5">
            <w:pPr>
              <w:jc w:val="right"/>
              <w:rPr>
                <w:rFonts w:ascii="Calibri" w:hAnsi="Calibri" w:cs="Calibri"/>
                <w:bCs/>
                <w:color w:val="000000"/>
                <w:sz w:val="16"/>
                <w:szCs w:val="16"/>
              </w:rPr>
            </w:pPr>
            <w:r w:rsidRPr="00072B7E">
              <w:rPr>
                <w:rFonts w:ascii="Calibri" w:hAnsi="Calibri" w:cs="Calibri"/>
                <w:bCs/>
                <w:color w:val="000000"/>
                <w:sz w:val="16"/>
                <w:szCs w:val="16"/>
              </w:rPr>
              <w:t>8.9</w:t>
            </w:r>
          </w:p>
        </w:tc>
      </w:tr>
      <w:tr w:rsidR="00C30B1D" w:rsidRPr="00072B7E" w:rsidTr="00C30B1D">
        <w:trPr>
          <w:gridBefore w:val="1"/>
          <w:gridAfter w:val="5"/>
          <w:wBefore w:w="199" w:type="dxa"/>
          <w:wAfter w:w="4320" w:type="dxa"/>
          <w:trHeight w:val="143"/>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 xml:space="preserve">Grand Total </w:t>
            </w:r>
          </w:p>
        </w:tc>
        <w:tc>
          <w:tcPr>
            <w:tcW w:w="1480" w:type="dxa"/>
            <w:tcBorders>
              <w:top w:val="nil"/>
              <w:left w:val="nil"/>
              <w:bottom w:val="single" w:sz="4" w:space="0" w:color="auto"/>
              <w:right w:val="single" w:sz="4" w:space="0" w:color="auto"/>
            </w:tcBorders>
            <w:shd w:val="clear" w:color="auto" w:fill="auto"/>
            <w:noWrap/>
            <w:vAlign w:val="bottom"/>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 xml:space="preserve">               333,920 </w:t>
            </w:r>
          </w:p>
        </w:tc>
        <w:tc>
          <w:tcPr>
            <w:tcW w:w="1440" w:type="dxa"/>
            <w:tcBorders>
              <w:top w:val="nil"/>
              <w:left w:val="nil"/>
              <w:bottom w:val="single" w:sz="4" w:space="0" w:color="auto"/>
              <w:right w:val="single" w:sz="4" w:space="0" w:color="auto"/>
            </w:tcBorders>
            <w:shd w:val="clear" w:color="auto" w:fill="auto"/>
            <w:noWrap/>
            <w:vAlign w:val="bottom"/>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 xml:space="preserve">                80,138 </w:t>
            </w:r>
          </w:p>
        </w:tc>
        <w:tc>
          <w:tcPr>
            <w:tcW w:w="1460" w:type="dxa"/>
            <w:tcBorders>
              <w:top w:val="nil"/>
              <w:left w:val="nil"/>
              <w:bottom w:val="single" w:sz="4" w:space="0" w:color="auto"/>
              <w:right w:val="single" w:sz="4" w:space="0" w:color="auto"/>
            </w:tcBorders>
            <w:shd w:val="clear" w:color="auto" w:fill="auto"/>
            <w:noWrap/>
            <w:vAlign w:val="bottom"/>
            <w:hideMark/>
          </w:tcPr>
          <w:p w:rsidR="00C30B1D" w:rsidRPr="00072B7E" w:rsidRDefault="00C30B1D" w:rsidP="002810D5">
            <w:pPr>
              <w:rPr>
                <w:rFonts w:ascii="Calibri" w:hAnsi="Calibri" w:cs="Calibri"/>
                <w:b/>
                <w:bCs/>
                <w:color w:val="000000"/>
                <w:sz w:val="16"/>
                <w:szCs w:val="16"/>
              </w:rPr>
            </w:pPr>
            <w:r w:rsidRPr="00072B7E">
              <w:rPr>
                <w:rFonts w:ascii="Calibri" w:hAnsi="Calibri" w:cs="Calibri"/>
                <w:b/>
                <w:bCs/>
                <w:color w:val="000000"/>
                <w:sz w:val="16"/>
                <w:szCs w:val="16"/>
              </w:rPr>
              <w:t xml:space="preserve">              288,498 </w:t>
            </w:r>
          </w:p>
        </w:tc>
        <w:tc>
          <w:tcPr>
            <w:tcW w:w="1080" w:type="dxa"/>
            <w:tcBorders>
              <w:top w:val="nil"/>
              <w:left w:val="nil"/>
              <w:bottom w:val="single" w:sz="4" w:space="0" w:color="auto"/>
              <w:right w:val="single" w:sz="4" w:space="0" w:color="auto"/>
            </w:tcBorders>
            <w:shd w:val="clear" w:color="auto" w:fill="auto"/>
            <w:noWrap/>
            <w:vAlign w:val="bottom"/>
          </w:tcPr>
          <w:p w:rsidR="00C30B1D" w:rsidRPr="00072B7E" w:rsidRDefault="00C30B1D" w:rsidP="002810D5">
            <w:pPr>
              <w:jc w:val="right"/>
              <w:rPr>
                <w:rFonts w:ascii="Calibri" w:hAnsi="Calibri" w:cs="Calibri"/>
                <w:b/>
                <w:bCs/>
                <w:color w:val="000000"/>
                <w:sz w:val="16"/>
                <w:szCs w:val="16"/>
              </w:rPr>
            </w:pPr>
          </w:p>
        </w:tc>
        <w:tc>
          <w:tcPr>
            <w:tcW w:w="1460" w:type="dxa"/>
            <w:tcBorders>
              <w:top w:val="nil"/>
              <w:left w:val="nil"/>
              <w:bottom w:val="single" w:sz="4" w:space="0" w:color="auto"/>
              <w:right w:val="single" w:sz="4" w:space="0" w:color="auto"/>
            </w:tcBorders>
            <w:shd w:val="clear" w:color="auto" w:fill="auto"/>
            <w:noWrap/>
            <w:vAlign w:val="bottom"/>
          </w:tcPr>
          <w:p w:rsidR="00C30B1D" w:rsidRPr="00072B7E" w:rsidRDefault="00C30B1D" w:rsidP="002810D5">
            <w:pPr>
              <w:jc w:val="right"/>
              <w:rPr>
                <w:rFonts w:ascii="Calibri" w:hAnsi="Calibri" w:cs="Calibri"/>
                <w:b/>
                <w:bCs/>
                <w:color w:val="000000"/>
                <w:sz w:val="16"/>
                <w:szCs w:val="16"/>
              </w:rPr>
            </w:pPr>
          </w:p>
        </w:tc>
      </w:tr>
    </w:tbl>
    <w:p w:rsidR="002959EC" w:rsidRDefault="002959EC">
      <w:pPr>
        <w:spacing w:after="80"/>
        <w:ind w:left="810" w:hanging="450"/>
        <w:jc w:val="both"/>
        <w:rPr>
          <w:sz w:val="22"/>
          <w:szCs w:val="22"/>
        </w:rPr>
      </w:pPr>
    </w:p>
    <w:p w:rsidR="002959EC" w:rsidRPr="00C30B1D" w:rsidRDefault="002959EC" w:rsidP="002959EC">
      <w:pPr>
        <w:jc w:val="both"/>
        <w:rPr>
          <w:rFonts w:ascii="Calibri" w:hAnsi="Calibri" w:cs="Calibri"/>
          <w:noProof/>
          <w:sz w:val="20"/>
          <w:szCs w:val="20"/>
        </w:rPr>
      </w:pPr>
      <w:r w:rsidRPr="00C30B1D">
        <w:rPr>
          <w:rFonts w:ascii="Calibri" w:hAnsi="Calibri" w:cs="Calibri"/>
          <w:noProof/>
          <w:sz w:val="20"/>
          <w:szCs w:val="20"/>
        </w:rPr>
        <w:t xml:space="preserve">Under this GEF project which is targeted to run from 2013 to 2018, it can be assumed that </w:t>
      </w:r>
      <w:r w:rsidR="00B93554">
        <w:rPr>
          <w:rFonts w:ascii="Calibri" w:hAnsi="Calibri" w:cs="Calibri"/>
          <w:noProof/>
          <w:sz w:val="20"/>
          <w:szCs w:val="20"/>
        </w:rPr>
        <w:t xml:space="preserve">at least </w:t>
      </w:r>
      <w:r w:rsidRPr="00C30B1D">
        <w:rPr>
          <w:rFonts w:ascii="Calibri" w:hAnsi="Calibri" w:cs="Calibri"/>
          <w:noProof/>
          <w:sz w:val="20"/>
          <w:szCs w:val="20"/>
        </w:rPr>
        <w:t>about 75 to 80 % of this target maybe achieved (depending on the start-up of the demonstration/commercialization projects).  That will be equivalent to 216,000 to 231,000 tCO2e GHG emission reduction. This is about 17 to 18 % of total 2009 GHG emissions (or 8.5 to 9 % of projected 2020 GHG emissions). This is also about 43 to 45 % of the 2009 GHG emissions from electricity generation (or 21.5 to 22.4% of projected 2020 GHG emissions).</w:t>
      </w:r>
    </w:p>
    <w:p w:rsidR="002959EC" w:rsidRDefault="002959EC" w:rsidP="002959EC">
      <w:pPr>
        <w:jc w:val="both"/>
        <w:rPr>
          <w:rFonts w:ascii="Calibri" w:hAnsi="Calibri" w:cs="Calibri"/>
          <w:noProof/>
          <w:sz w:val="20"/>
          <w:szCs w:val="20"/>
        </w:rPr>
      </w:pPr>
    </w:p>
    <w:p w:rsidR="00783086" w:rsidRDefault="002959EC" w:rsidP="006A53A6">
      <w:pPr>
        <w:jc w:val="both"/>
        <w:rPr>
          <w:rFonts w:ascii="Calibri" w:hAnsi="Calibri" w:cs="Calibri"/>
          <w:noProof/>
          <w:sz w:val="20"/>
          <w:szCs w:val="20"/>
        </w:rPr>
      </w:pPr>
      <w:r>
        <w:rPr>
          <w:rFonts w:ascii="Calibri" w:hAnsi="Calibri" w:cs="Calibri"/>
          <w:noProof/>
          <w:sz w:val="20"/>
          <w:szCs w:val="20"/>
        </w:rPr>
        <w:t>A</w:t>
      </w:r>
      <w:r w:rsidR="00783086">
        <w:rPr>
          <w:rFonts w:ascii="Calibri" w:hAnsi="Calibri" w:cs="Calibri"/>
          <w:noProof/>
          <w:sz w:val="20"/>
          <w:szCs w:val="20"/>
        </w:rPr>
        <w:t xml:space="preserve">s mentioned earlier, the country is targeting to achieve carbon neutrality (net zero GHG emissions) by 2020. However, even if the country is successful in achieving this target, the contribution to global GHG emission is not very significant. What can thus be considered as the </w:t>
      </w:r>
      <w:r>
        <w:rPr>
          <w:rFonts w:ascii="Calibri" w:hAnsi="Calibri" w:cs="Calibri"/>
          <w:noProof/>
          <w:sz w:val="20"/>
          <w:szCs w:val="20"/>
        </w:rPr>
        <w:t xml:space="preserve">significant </w:t>
      </w:r>
      <w:r w:rsidR="00783086">
        <w:rPr>
          <w:rFonts w:ascii="Calibri" w:hAnsi="Calibri" w:cs="Calibri"/>
          <w:noProof/>
          <w:sz w:val="20"/>
          <w:szCs w:val="20"/>
        </w:rPr>
        <w:t xml:space="preserve">Global Environmental Benefits of this project is the potential of the country to showcase its low-carbon energy policies and strategies; how to achieve them and encourage, even provide support, for its replication not only in other SIDS but also in many small island communities in larger archipelagic countries. Part of this project are training programs, which can include participants from those countries. It is the global replication of succesfully adopted low-carbon energy policies and strategies, which can generate more concrete global environmental benefits. The Maldives is very high profile country; its country officials have been very articulate in many international forum on the impacts of climate change on island states and communities. The fact that the country is also a popular high end tourist destination add to the country’s high profile, and positively contribute to the promotion of any low-carbon energy and other sustainable policies adopted by the country, and its possible global replication.  A quantitative estimate of the global benefits, particularly GHG emission reduction, for countries that have been directly influenced by this project; however this is not possible at the PIF stage; it may be estimated with some certainty probably towards the end of the the project implementation. </w:t>
      </w:r>
    </w:p>
    <w:p w:rsidR="006A53A6" w:rsidRDefault="006A53A6" w:rsidP="006A53A6">
      <w:pPr>
        <w:jc w:val="both"/>
        <w:rPr>
          <w:sz w:val="22"/>
          <w:szCs w:val="22"/>
        </w:rPr>
      </w:pPr>
    </w:p>
    <w:p w:rsidR="000D5083" w:rsidRDefault="000D5083">
      <w:pPr>
        <w:spacing w:after="80"/>
        <w:ind w:left="810" w:hanging="450"/>
        <w:jc w:val="both"/>
        <w:rPr>
          <w:sz w:val="22"/>
          <w:szCs w:val="22"/>
        </w:rPr>
      </w:pPr>
      <w:r>
        <w:rPr>
          <w:sz w:val="22"/>
          <w:szCs w:val="22"/>
        </w:rPr>
        <w:t xml:space="preserve">B.3. </w:t>
      </w:r>
      <w:r>
        <w:rPr>
          <w:sz w:val="22"/>
          <w:szCs w:val="22"/>
        </w:rPr>
        <w:tab/>
        <w:t xml:space="preserve">Describe the socioeconomic benefits to be delivered by the Project at the national and local levels, including consideration of gender dimensions, and how these will support the achievement of global environment benefits(GEF Trust Fund) or adaptation benefits (LDCF/SCCF). </w:t>
      </w:r>
      <w:r>
        <w:rPr>
          <w:color w:val="000000"/>
        </w:rPr>
        <w:t>As a background information, read</w:t>
      </w:r>
      <w:hyperlink r:id="rId18" w:history="1">
        <w:r>
          <w:rPr>
            <w:color w:val="0000FF"/>
            <w:u w:val="single"/>
          </w:rPr>
          <w:t>Mainstreaming Gender at the GEF."</w:t>
        </w:r>
      </w:hyperlink>
      <w:r>
        <w:rPr>
          <w:color w:val="000000"/>
        </w:rPr>
        <w:t>:</w:t>
      </w:r>
    </w:p>
    <w:tbl>
      <w:tblPr>
        <w:tblW w:w="0" w:type="auto"/>
        <w:tblInd w:w="-106" w:type="dxa"/>
        <w:tblLook w:val="00A0"/>
      </w:tblPr>
      <w:tblGrid>
        <w:gridCol w:w="9576"/>
      </w:tblGrid>
      <w:tr w:rsidR="000D5083">
        <w:tc>
          <w:tcPr>
            <w:tcW w:w="9576" w:type="dxa"/>
          </w:tcPr>
          <w:p w:rsidR="000D5083" w:rsidRDefault="000D5083">
            <w:pPr>
              <w:spacing w:after="144"/>
              <w:jc w:val="both"/>
              <w:rPr>
                <w:rFonts w:ascii="Calibri" w:hAnsi="Calibri" w:cs="Calibri"/>
                <w:sz w:val="20"/>
                <w:szCs w:val="20"/>
              </w:rPr>
            </w:pPr>
            <w:r>
              <w:rPr>
                <w:rFonts w:ascii="Calibri" w:hAnsi="Calibri" w:cs="Calibri"/>
                <w:sz w:val="20"/>
                <w:szCs w:val="20"/>
              </w:rPr>
              <w:t>The socio-economic objectives for the various sectors of the economy are the driving variables for the energy demand. EE strategies should make the attainment of these socio-economic objectives less energy intensive, and thus most probably, less cost intensive too. This will increase further the likelihood of attaining the country’s socio-economic goals.</w:t>
            </w:r>
          </w:p>
          <w:p w:rsidR="000D5083" w:rsidRDefault="000D5083">
            <w:pPr>
              <w:spacing w:after="144"/>
              <w:jc w:val="both"/>
            </w:pPr>
            <w:r>
              <w:rPr>
                <w:rFonts w:ascii="Calibri" w:hAnsi="Calibri" w:cs="Calibri"/>
                <w:sz w:val="20"/>
                <w:szCs w:val="20"/>
              </w:rPr>
              <w:t>The project will also generate job and employment opportunities for those interested to work in what it is hope to be the country’s emerging low-carbon energy sector. Many of the socio-economic goals have specific objectives that are targeted to particularly benefit women. The project will adopt methodologies that will allow for gender disaggregated data to provide for gender disaggregated indicators and variables that will allow for gender-sensitive analysis of the EE interventions.</w:t>
            </w:r>
          </w:p>
        </w:tc>
      </w:tr>
    </w:tbl>
    <w:p w:rsidR="000D5083" w:rsidRDefault="000D5083">
      <w:pPr>
        <w:spacing w:after="80"/>
        <w:ind w:left="810" w:hanging="450"/>
        <w:jc w:val="both"/>
        <w:rPr>
          <w:sz w:val="22"/>
          <w:szCs w:val="22"/>
        </w:rPr>
      </w:pPr>
      <w:r>
        <w:rPr>
          <w:color w:val="000000"/>
        </w:rPr>
        <w:t>B.4</w:t>
      </w:r>
      <w:r>
        <w:rPr>
          <w:color w:val="000000"/>
        </w:rPr>
        <w:tab/>
        <w:t>Indicate risks, including climate change risks that might prevent the project objectives from being achieved, and if possible, propose measures that address these risks to be further developed during the project design</w:t>
      </w:r>
      <w:r>
        <w:rPr>
          <w:sz w:val="22"/>
          <w:szCs w:val="22"/>
        </w:rPr>
        <w:t xml:space="preserve">: </w:t>
      </w:r>
    </w:p>
    <w:tbl>
      <w:tblPr>
        <w:tblW w:w="0" w:type="auto"/>
        <w:tblInd w:w="-106" w:type="dxa"/>
        <w:tblLook w:val="00A0"/>
      </w:tblPr>
      <w:tblGrid>
        <w:gridCol w:w="9576"/>
      </w:tblGrid>
      <w:tr w:rsidR="000D5083">
        <w:tc>
          <w:tcPr>
            <w:tcW w:w="9576" w:type="dxa"/>
          </w:tcPr>
          <w:p w:rsidR="000D5083" w:rsidRDefault="000D50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4"/>
              <w:jc w:val="both"/>
              <w:rPr>
                <w:rFonts w:ascii="Calibri" w:hAnsi="Calibri" w:cs="Calibri"/>
                <w:noProof/>
                <w:sz w:val="20"/>
                <w:szCs w:val="20"/>
              </w:rPr>
            </w:pPr>
            <w:r>
              <w:rPr>
                <w:rFonts w:ascii="Calibri" w:hAnsi="Calibri" w:cs="Calibri"/>
                <w:noProof/>
                <w:sz w:val="20"/>
                <w:szCs w:val="20"/>
              </w:rPr>
              <w:t xml:space="preserve">Overall risk for the project maybe considered moderate. The principal risks, i.e. possible barriers to successful project implementation relate to: (i) the sustainability of the support by key stakeholders in the region; (ii) lack of interest of the private sector and (iii) the price level for conventional energy, i.e. world market development for fossil fuels and (iv) the technology risks. Experience has shown that the risk of lacking or fading government support in the field of low carbon energy systems is real, i.e., the project has to establish effective means to monitor and to the extent possible mitigate these risks. Mitigation measures include a strong emphasis on national ownership and local project management and participation, mobilizing private sector participation and a continuous dialogue between the project’s major stakeholders. </w:t>
            </w:r>
          </w:p>
          <w:p w:rsidR="000D5083" w:rsidRDefault="000D5083">
            <w:pPr>
              <w:tabs>
                <w:tab w:val="left" w:pos="567"/>
                <w:tab w:val="center" w:pos="4320"/>
                <w:tab w:val="right" w:pos="8640"/>
              </w:tabs>
              <w:spacing w:after="144"/>
              <w:jc w:val="both"/>
              <w:rPr>
                <w:rFonts w:ascii="Calibri" w:hAnsi="Calibri" w:cs="Calibri"/>
                <w:noProof/>
                <w:sz w:val="20"/>
                <w:szCs w:val="20"/>
                <w:lang w:eastAsia="ar-SA"/>
              </w:rPr>
            </w:pPr>
            <w:r>
              <w:rPr>
                <w:rFonts w:ascii="Calibri" w:hAnsi="Calibri" w:cs="Calibri"/>
                <w:noProof/>
                <w:sz w:val="20"/>
                <w:szCs w:val="20"/>
                <w:lang w:eastAsia="ar-SA"/>
              </w:rPr>
              <w:t>High dependency on imported petroleum products to meet the energy demands leads to two categories of risks: 1) Oil price volatility and shocks; and 2) Interruptions in the delivery of fuel (energy crisis). While supply interruption is not a risk category that could impact on the outcomes of the project, world market price developments are a substantial risk to the project. As the project aims to mobilize private investment capital, a sustained drop in oil prices during the implementation period of the project would have negative impacts on the commercial viability of low carbon technologies. Understanding of these risks can be improved but this market risk will be difficult to manage and mitigate. Some mitigation is achieved by focussing on the most competitive alternatives based on their life cycle costs. The lower the supply cost from low carbon systems, the more market movement can be tolerated without putting the entire project concept into jeopardy.</w:t>
            </w:r>
          </w:p>
          <w:p w:rsidR="000D5083" w:rsidRDefault="000D5083">
            <w:pPr>
              <w:tabs>
                <w:tab w:val="left" w:pos="567"/>
                <w:tab w:val="center" w:pos="4320"/>
                <w:tab w:val="right" w:pos="8640"/>
              </w:tabs>
              <w:spacing w:after="144"/>
              <w:jc w:val="both"/>
              <w:rPr>
                <w:rFonts w:ascii="Calibri" w:hAnsi="Calibri" w:cs="Calibri"/>
                <w:noProof/>
                <w:sz w:val="20"/>
                <w:szCs w:val="20"/>
                <w:lang w:eastAsia="ar-SA"/>
              </w:rPr>
            </w:pPr>
            <w:r>
              <w:rPr>
                <w:rFonts w:ascii="Calibri" w:hAnsi="Calibri" w:cs="Calibri"/>
                <w:noProof/>
                <w:sz w:val="20"/>
                <w:szCs w:val="20"/>
                <w:lang w:eastAsia="ar-SA"/>
              </w:rPr>
              <w:t>A major internal implementation risks lies in the limited national capacity to effectively coordinate and implement energy sector projects and activities. This limited available local capacity is also required by other externally funded projects. This risk will be mitigated by hiring a full-time Chief Technical Adviser (CTA) who will be working closely with the government and the power utilities in all matters related to the project technical operation and administration. The CTA will be provided with one full time technical support staff and one full time operation/administration officer. A second mitigation measure is involvement of political decision makers in the project (this is already happening even at the PIF formulation stage). A third mitigation measure is really one of the key project components; capacity building involving focused training programs for staff and personnel of relevant agencies, including key stakeholders from the NGO and private sectors.</w:t>
            </w:r>
          </w:p>
          <w:p w:rsidR="000D5083" w:rsidRDefault="000D50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4"/>
              <w:jc w:val="both"/>
              <w:rPr>
                <w:rFonts w:ascii="Calibri" w:hAnsi="Calibri" w:cs="Calibri"/>
                <w:noProof/>
                <w:sz w:val="20"/>
                <w:szCs w:val="20"/>
              </w:rPr>
            </w:pPr>
            <w:r>
              <w:rPr>
                <w:rFonts w:ascii="Calibri" w:hAnsi="Calibri" w:cs="Calibri"/>
                <w:noProof/>
                <w:sz w:val="20"/>
                <w:szCs w:val="20"/>
              </w:rPr>
              <w:t>Another critical risk that could negatively impact on the project’s outcome is inadequate coordination between development partners such as ADB-SREP, JICA, and other UN agencies. The UNDAF process can be one venue for facilitating coordination, particularly with other UN projects and activities. The “framework” can be broadened to include non-UN partners of this project.</w:t>
            </w:r>
          </w:p>
          <w:p w:rsidR="000D5083" w:rsidRDefault="000D50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4"/>
              <w:jc w:val="both"/>
              <w:rPr>
                <w:rFonts w:ascii="Calibri" w:hAnsi="Calibri" w:cs="Calibri"/>
                <w:noProof/>
                <w:sz w:val="20"/>
                <w:szCs w:val="20"/>
              </w:rPr>
            </w:pPr>
            <w:r>
              <w:rPr>
                <w:rFonts w:ascii="Calibri" w:hAnsi="Calibri" w:cs="Calibri"/>
                <w:noProof/>
                <w:sz w:val="20"/>
                <w:szCs w:val="20"/>
              </w:rPr>
              <w:t>Perhaps the most significant risk is failure to establish sustainable financing mechanisms and allocating a low carbon energy fund with seed capital. At this point, the best mitigation measure for this risk is the development of attractive investment proposals based on solid data and information. Experience has clearly shown that innovative and convincing project proposals attract financial support on a regular basis. As part of the Inception Phase the project risks and assumptions will be reviewed, and where necessary additional project risks will be identified. In addition, also as part of the Inception Phase, a detailed risk management strategy for project implementation will be prepared.</w:t>
            </w:r>
          </w:p>
          <w:p w:rsidR="000D5083" w:rsidRDefault="000D50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4"/>
              <w:jc w:val="both"/>
            </w:pPr>
            <w:r>
              <w:rPr>
                <w:rFonts w:ascii="Calibri" w:hAnsi="Calibri" w:cs="Calibri"/>
                <w:noProof/>
                <w:sz w:val="20"/>
                <w:szCs w:val="20"/>
              </w:rPr>
              <w:t xml:space="preserve">There is also a risk that Climate Change impacts on the technologies promoted under this project. Mitigating these risks will be necessary. Extreme weather events such as hurricanes have damaged and destroyed  energy equipment in many small-island states such as in the Pacific and Carribean regions. It is fortunate that Maldives has been safe from such extreme climate events. Still, it will be good to design technologies that are climate proof. This project can learn from the work undertaken in the Pacific and Carribean island states.  </w:t>
            </w:r>
          </w:p>
        </w:tc>
      </w:tr>
    </w:tbl>
    <w:p w:rsidR="000D5083" w:rsidRDefault="000D5083">
      <w:pPr>
        <w:spacing w:after="120"/>
        <w:ind w:left="810" w:hanging="450"/>
        <w:jc w:val="both"/>
        <w:rPr>
          <w:sz w:val="22"/>
          <w:szCs w:val="22"/>
        </w:rPr>
      </w:pPr>
      <w:r>
        <w:rPr>
          <w:sz w:val="22"/>
          <w:szCs w:val="22"/>
        </w:rPr>
        <w:t xml:space="preserve">B.5. Identify key stakeholders involved in the project including the private sector, civil society organizations, local and indigenous communities, and their respective roles, as applicable:  </w:t>
      </w:r>
    </w:p>
    <w:tbl>
      <w:tblPr>
        <w:tblW w:w="9588" w:type="dxa"/>
        <w:tblInd w:w="-106" w:type="dxa"/>
        <w:tblLook w:val="00A0"/>
      </w:tblPr>
      <w:tblGrid>
        <w:gridCol w:w="9588"/>
      </w:tblGrid>
      <w:tr w:rsidR="000D5083">
        <w:tc>
          <w:tcPr>
            <w:tcW w:w="9588" w:type="dxa"/>
          </w:tcPr>
          <w:p w:rsidR="000D5083" w:rsidRDefault="000D5083">
            <w:pPr>
              <w:jc w:val="both"/>
              <w:rPr>
                <w:rFonts w:ascii="Calibri" w:hAnsi="Calibri" w:cs="Calibri"/>
                <w:smallCaps/>
                <w:sz w:val="20"/>
                <w:szCs w:val="20"/>
                <w:u w:val="single"/>
              </w:rPr>
            </w:pPr>
            <w:bookmarkStart w:id="294" w:name="identifyStakeHolders"/>
            <w:r>
              <w:rPr>
                <w:rFonts w:ascii="Calibri" w:hAnsi="Calibri" w:cs="Calibri"/>
                <w:smallCaps/>
                <w:sz w:val="20"/>
                <w:szCs w:val="20"/>
                <w:u w:val="single"/>
              </w:rPr>
              <w:t>1. Government Agencies &amp; Bodies</w:t>
            </w:r>
          </w:p>
          <w:p w:rsidR="000D5083" w:rsidRDefault="000D5083">
            <w:pPr>
              <w:jc w:val="both"/>
              <w:rPr>
                <w:rFonts w:ascii="Calibri" w:hAnsi="Calibri" w:cs="Calibri"/>
                <w:sz w:val="20"/>
                <w:szCs w:val="20"/>
              </w:rPr>
            </w:pPr>
            <w:r>
              <w:rPr>
                <w:rFonts w:ascii="Calibri" w:hAnsi="Calibri" w:cs="Calibri"/>
                <w:sz w:val="20"/>
                <w:szCs w:val="20"/>
              </w:rPr>
              <w:t xml:space="preserve">Government agencies and bodies are either involved in policy formulation and program planning, project implementation, regulations and investment. </w:t>
            </w:r>
          </w:p>
          <w:p w:rsidR="000D5083" w:rsidRDefault="000D5083">
            <w:pPr>
              <w:numPr>
                <w:ilvl w:val="0"/>
                <w:numId w:val="6"/>
              </w:numPr>
              <w:jc w:val="both"/>
              <w:rPr>
                <w:rFonts w:ascii="Calibri" w:hAnsi="Calibri" w:cs="Calibri"/>
                <w:sz w:val="20"/>
                <w:szCs w:val="20"/>
              </w:rPr>
            </w:pPr>
            <w:r>
              <w:rPr>
                <w:rFonts w:ascii="Calibri" w:hAnsi="Calibri" w:cs="Calibri"/>
                <w:sz w:val="20"/>
                <w:szCs w:val="20"/>
              </w:rPr>
              <w:t xml:space="preserve">Climate Change and Energy Department, Ministry of Housing and Environment , is the country’s lead agency, responsible for policy formulation, and the planning and monitoring of the country’s energy programs and strategies. It is also involved in international cooperation activities, usually acting as the lead partner agency in behalf of the country, as in this proposed GEF project. </w:t>
            </w:r>
          </w:p>
          <w:p w:rsidR="000D5083" w:rsidRDefault="000D5083">
            <w:pPr>
              <w:numPr>
                <w:ilvl w:val="0"/>
                <w:numId w:val="6"/>
              </w:numPr>
              <w:jc w:val="both"/>
              <w:rPr>
                <w:rFonts w:ascii="Calibri" w:hAnsi="Calibri" w:cs="Calibri"/>
                <w:sz w:val="20"/>
                <w:szCs w:val="20"/>
              </w:rPr>
            </w:pPr>
            <w:r>
              <w:rPr>
                <w:rFonts w:ascii="Calibri" w:hAnsi="Calibri" w:cs="Calibri"/>
                <w:sz w:val="20"/>
                <w:szCs w:val="20"/>
              </w:rPr>
              <w:t>Climate Change Advisory Council</w:t>
            </w:r>
          </w:p>
          <w:p w:rsidR="000D5083" w:rsidRDefault="000D5083">
            <w:pPr>
              <w:numPr>
                <w:ilvl w:val="0"/>
                <w:numId w:val="6"/>
              </w:numPr>
              <w:jc w:val="both"/>
              <w:rPr>
                <w:rFonts w:ascii="Calibri" w:hAnsi="Calibri" w:cs="Calibri"/>
                <w:sz w:val="20"/>
                <w:szCs w:val="20"/>
              </w:rPr>
            </w:pPr>
            <w:r>
              <w:rPr>
                <w:rFonts w:ascii="Calibri" w:hAnsi="Calibri" w:cs="Calibri"/>
                <w:sz w:val="20"/>
                <w:szCs w:val="20"/>
              </w:rPr>
              <w:t>Maldives Energy Authority is the country’s regulatory body.</w:t>
            </w:r>
          </w:p>
          <w:p w:rsidR="000D5083" w:rsidRDefault="000D5083">
            <w:pPr>
              <w:numPr>
                <w:ilvl w:val="0"/>
                <w:numId w:val="6"/>
              </w:numPr>
              <w:jc w:val="both"/>
              <w:rPr>
                <w:rFonts w:ascii="Calibri" w:hAnsi="Calibri" w:cs="Calibri"/>
                <w:sz w:val="20"/>
                <w:szCs w:val="20"/>
              </w:rPr>
            </w:pPr>
            <w:r>
              <w:rPr>
                <w:rFonts w:ascii="Calibri" w:hAnsi="Calibri" w:cs="Calibri"/>
                <w:sz w:val="20"/>
                <w:szCs w:val="20"/>
              </w:rPr>
              <w:t>The President’s Office provides overall policy guidelines.</w:t>
            </w:r>
          </w:p>
          <w:p w:rsidR="000D5083" w:rsidRDefault="000D5083">
            <w:pPr>
              <w:numPr>
                <w:ilvl w:val="0"/>
                <w:numId w:val="6"/>
              </w:numPr>
              <w:jc w:val="both"/>
              <w:rPr>
                <w:rFonts w:ascii="Calibri" w:hAnsi="Calibri" w:cs="Calibri"/>
                <w:sz w:val="20"/>
                <w:szCs w:val="20"/>
              </w:rPr>
            </w:pPr>
            <w:r>
              <w:rPr>
                <w:rFonts w:ascii="Calibri" w:hAnsi="Calibri" w:cs="Calibri"/>
                <w:sz w:val="20"/>
                <w:szCs w:val="20"/>
              </w:rPr>
              <w:t>Ministry of Finance Treasury - Assists and seeking external and domestic finance .</w:t>
            </w:r>
          </w:p>
          <w:p w:rsidR="000D5083" w:rsidRDefault="000D5083">
            <w:pPr>
              <w:numPr>
                <w:ilvl w:val="0"/>
                <w:numId w:val="6"/>
              </w:numPr>
              <w:jc w:val="both"/>
              <w:rPr>
                <w:rFonts w:ascii="Calibri" w:hAnsi="Calibri" w:cs="Calibri"/>
                <w:sz w:val="20"/>
                <w:szCs w:val="20"/>
              </w:rPr>
            </w:pPr>
            <w:r>
              <w:rPr>
                <w:rFonts w:ascii="Calibri" w:hAnsi="Calibri" w:cs="Calibri"/>
                <w:sz w:val="20"/>
                <w:szCs w:val="20"/>
              </w:rPr>
              <w:t>Department of National Planning - develops, coordinate and monitor the Government Strategic Action Plan and provide inter-sectoral policy coordination and implement development projects.</w:t>
            </w:r>
          </w:p>
          <w:p w:rsidR="000D5083" w:rsidRDefault="000D5083">
            <w:pPr>
              <w:numPr>
                <w:ilvl w:val="0"/>
                <w:numId w:val="6"/>
              </w:numPr>
              <w:jc w:val="both"/>
              <w:rPr>
                <w:rFonts w:ascii="Calibri" w:hAnsi="Calibri" w:cs="Calibri"/>
                <w:sz w:val="20"/>
                <w:szCs w:val="20"/>
              </w:rPr>
            </w:pPr>
            <w:r>
              <w:rPr>
                <w:rFonts w:ascii="Calibri" w:hAnsi="Calibri" w:cs="Calibri"/>
                <w:sz w:val="20"/>
                <w:szCs w:val="20"/>
              </w:rPr>
              <w:t>Ministry of Economic Development – assist in the development of business models to promote domestic and foreign investment opportunities for energy sector development</w:t>
            </w:r>
          </w:p>
          <w:p w:rsidR="000D5083" w:rsidRDefault="000D5083">
            <w:pPr>
              <w:numPr>
                <w:ilvl w:val="0"/>
                <w:numId w:val="6"/>
              </w:numPr>
              <w:jc w:val="both"/>
              <w:rPr>
                <w:rFonts w:ascii="Calibri" w:hAnsi="Calibri" w:cs="Calibri"/>
                <w:sz w:val="20"/>
                <w:szCs w:val="20"/>
              </w:rPr>
            </w:pPr>
            <w:r>
              <w:rPr>
                <w:rFonts w:ascii="Calibri" w:hAnsi="Calibri" w:cs="Calibri"/>
                <w:sz w:val="20"/>
                <w:szCs w:val="20"/>
              </w:rPr>
              <w:t>Provincial Offices – involved in the decentralization of the energy sector</w:t>
            </w:r>
          </w:p>
          <w:p w:rsidR="000D5083" w:rsidRDefault="000D5083">
            <w:pPr>
              <w:numPr>
                <w:ilvl w:val="0"/>
                <w:numId w:val="6"/>
              </w:numPr>
              <w:jc w:val="both"/>
              <w:rPr>
                <w:rFonts w:ascii="Calibri" w:hAnsi="Calibri" w:cs="Calibri"/>
                <w:sz w:val="20"/>
                <w:szCs w:val="20"/>
              </w:rPr>
            </w:pPr>
            <w:r>
              <w:rPr>
                <w:rFonts w:ascii="Calibri" w:hAnsi="Calibri" w:cs="Calibri"/>
                <w:sz w:val="20"/>
                <w:szCs w:val="20"/>
              </w:rPr>
              <w:t>Environmental Protection Agency – assist in the development of environmentally sound energy sector and its monitoring</w:t>
            </w:r>
          </w:p>
          <w:p w:rsidR="000D5083" w:rsidRDefault="000D5083">
            <w:pPr>
              <w:numPr>
                <w:ilvl w:val="0"/>
                <w:numId w:val="6"/>
              </w:numPr>
              <w:jc w:val="both"/>
              <w:rPr>
                <w:rFonts w:ascii="Calibri" w:hAnsi="Calibri" w:cs="Calibri"/>
                <w:sz w:val="20"/>
                <w:szCs w:val="20"/>
              </w:rPr>
            </w:pPr>
            <w:r>
              <w:rPr>
                <w:rFonts w:ascii="Calibri" w:hAnsi="Calibri" w:cs="Calibri"/>
                <w:sz w:val="20"/>
                <w:szCs w:val="20"/>
              </w:rPr>
              <w:t xml:space="preserve">STELCO &amp; Provincial Utility Companies – State-owned providers of energy and other utility services in the provinces. There are seven operating utilities providing power across the country namely, STELCO, Upper North Utilities Ltd, Northern Utilities Ltd, Central Utilities Ltd, Central Utilities Ltd, Upper South Utilities Ltd and Southern Utilities Ltd. The total installed power capacity of these seven utilities is 106.2 MW.  Maldives’s main electricity provider is STELCO that has an installed capacity of 61.98 MW, with 49.6 MW installed in the capital city Malé alone. STELCO operates 10 power plants in Maldives which run on diesel. Apart from these power plants, as Maldives is not completely connected by a grid system, many residents, industries and tourist resorts operate their own diesel generator sets.. Island Development Committees (IDC) operated power houses  are currently in the process of being integrated into the 7 utilities. Besides this, resorts on around 100 islands have their own diesel generation sets with a cumulative installed capacity of around 100 MW. These operate independent of the utilities. </w:t>
            </w:r>
          </w:p>
          <w:p w:rsidR="000D5083" w:rsidRDefault="000D5083">
            <w:pPr>
              <w:numPr>
                <w:ilvl w:val="0"/>
                <w:numId w:val="6"/>
              </w:numPr>
              <w:jc w:val="both"/>
              <w:rPr>
                <w:rFonts w:ascii="Calibri" w:hAnsi="Calibri" w:cs="Calibri"/>
                <w:sz w:val="20"/>
                <w:szCs w:val="20"/>
              </w:rPr>
            </w:pPr>
            <w:r>
              <w:rPr>
                <w:rFonts w:ascii="Calibri" w:hAnsi="Calibri" w:cs="Calibri"/>
                <w:sz w:val="20"/>
                <w:szCs w:val="20"/>
              </w:rPr>
              <w:t>Maldives Custom Services – collaborates on energy imports and exports to the country</w:t>
            </w:r>
          </w:p>
          <w:p w:rsidR="000D5083" w:rsidRDefault="000D5083">
            <w:pPr>
              <w:numPr>
                <w:ilvl w:val="0"/>
                <w:numId w:val="6"/>
              </w:numPr>
              <w:jc w:val="both"/>
              <w:rPr>
                <w:rFonts w:ascii="Calibri" w:hAnsi="Calibri" w:cs="Calibri"/>
                <w:sz w:val="20"/>
                <w:szCs w:val="20"/>
              </w:rPr>
            </w:pPr>
            <w:r>
              <w:rPr>
                <w:rFonts w:ascii="Calibri" w:hAnsi="Calibri" w:cs="Calibri"/>
                <w:sz w:val="20"/>
                <w:szCs w:val="20"/>
              </w:rPr>
              <w:t>Local Government System – involves Province Offices, which overseen regional utilities in providing energy to the communities and assist in the decentralization of lead agencies policies and strategies; Atoll councils, which assess energy needs at atoll levels, and island councils, which do the same at island levels</w:t>
            </w:r>
          </w:p>
          <w:p w:rsidR="000D5083" w:rsidRDefault="000D5083">
            <w:pPr>
              <w:numPr>
                <w:ilvl w:val="0"/>
                <w:numId w:val="6"/>
              </w:numPr>
              <w:jc w:val="both"/>
              <w:rPr>
                <w:rFonts w:ascii="Calibri" w:hAnsi="Calibri" w:cs="Calibri"/>
                <w:sz w:val="20"/>
                <w:szCs w:val="20"/>
              </w:rPr>
            </w:pPr>
            <w:r>
              <w:rPr>
                <w:rFonts w:ascii="Calibri" w:hAnsi="Calibri" w:cs="Calibri"/>
                <w:sz w:val="20"/>
                <w:szCs w:val="20"/>
              </w:rPr>
              <w:t>Attorney General’s Office – Assist the lead agency in development of a national framework for energy related acts and regulations</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2. Private Sector – End-users</w:t>
            </w:r>
          </w:p>
          <w:p w:rsidR="000D5083" w:rsidRDefault="000D5083">
            <w:pPr>
              <w:jc w:val="both"/>
              <w:rPr>
                <w:rFonts w:ascii="Calibri" w:hAnsi="Calibri" w:cs="Calibri"/>
                <w:sz w:val="20"/>
                <w:szCs w:val="20"/>
              </w:rPr>
            </w:pPr>
            <w:r>
              <w:rPr>
                <w:rFonts w:ascii="Calibri" w:hAnsi="Calibri" w:cs="Calibri"/>
                <w:sz w:val="20"/>
                <w:szCs w:val="20"/>
              </w:rPr>
              <w:t xml:space="preserve">Most important stakeholders as they are the users and consumers of the energy products and services, need to better understand their consumption patterns and projections of their demand </w:t>
            </w:r>
          </w:p>
          <w:p w:rsidR="000D5083" w:rsidRDefault="000D5083">
            <w:pPr>
              <w:numPr>
                <w:ilvl w:val="0"/>
                <w:numId w:val="9"/>
              </w:numPr>
              <w:jc w:val="both"/>
              <w:rPr>
                <w:rFonts w:ascii="Calibri" w:hAnsi="Calibri" w:cs="Calibri"/>
                <w:sz w:val="20"/>
                <w:szCs w:val="20"/>
              </w:rPr>
            </w:pPr>
            <w:r>
              <w:rPr>
                <w:rFonts w:ascii="Calibri" w:hAnsi="Calibri" w:cs="Calibri"/>
                <w:sz w:val="20"/>
                <w:szCs w:val="20"/>
              </w:rPr>
              <w:t>Households</w:t>
            </w:r>
          </w:p>
          <w:p w:rsidR="000D5083" w:rsidRDefault="000D5083">
            <w:pPr>
              <w:numPr>
                <w:ilvl w:val="0"/>
                <w:numId w:val="9"/>
              </w:numPr>
              <w:jc w:val="both"/>
              <w:rPr>
                <w:rFonts w:ascii="Calibri" w:hAnsi="Calibri" w:cs="Calibri"/>
                <w:sz w:val="20"/>
                <w:szCs w:val="20"/>
              </w:rPr>
            </w:pPr>
            <w:r>
              <w:rPr>
                <w:rFonts w:ascii="Calibri" w:hAnsi="Calibri" w:cs="Calibri"/>
                <w:sz w:val="20"/>
                <w:szCs w:val="20"/>
              </w:rPr>
              <w:t>Tourism sector</w:t>
            </w:r>
          </w:p>
          <w:p w:rsidR="000D5083" w:rsidRDefault="000D5083">
            <w:pPr>
              <w:numPr>
                <w:ilvl w:val="0"/>
                <w:numId w:val="9"/>
              </w:numPr>
              <w:jc w:val="both"/>
              <w:rPr>
                <w:rFonts w:ascii="Calibri" w:hAnsi="Calibri" w:cs="Calibri"/>
                <w:sz w:val="20"/>
                <w:szCs w:val="20"/>
              </w:rPr>
            </w:pPr>
            <w:r>
              <w:rPr>
                <w:rFonts w:ascii="Calibri" w:hAnsi="Calibri" w:cs="Calibri"/>
                <w:sz w:val="20"/>
                <w:szCs w:val="20"/>
              </w:rPr>
              <w:t xml:space="preserve">Public buildings &amp; SMEs (maybe involved in embedded generation, becoming energy service providers too). </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 xml:space="preserve">3. Private Sector – Energy Product &amp; Service Providers </w:t>
            </w:r>
          </w:p>
          <w:p w:rsidR="000D5083" w:rsidRDefault="000D5083">
            <w:pPr>
              <w:jc w:val="both"/>
              <w:rPr>
                <w:rFonts w:ascii="Calibri" w:hAnsi="Calibri" w:cs="Calibri"/>
                <w:sz w:val="20"/>
                <w:szCs w:val="20"/>
              </w:rPr>
            </w:pPr>
            <w:r>
              <w:rPr>
                <w:rFonts w:ascii="Calibri" w:hAnsi="Calibri" w:cs="Calibri"/>
                <w:sz w:val="20"/>
                <w:szCs w:val="20"/>
              </w:rPr>
              <w:t>Stakeholders under this category include the following:</w:t>
            </w:r>
          </w:p>
          <w:p w:rsidR="000D5083" w:rsidRDefault="000D5083">
            <w:pPr>
              <w:numPr>
                <w:ilvl w:val="0"/>
                <w:numId w:val="7"/>
              </w:numPr>
              <w:jc w:val="both"/>
              <w:rPr>
                <w:rFonts w:ascii="Calibri" w:hAnsi="Calibri" w:cs="Calibri"/>
                <w:sz w:val="20"/>
                <w:szCs w:val="20"/>
              </w:rPr>
            </w:pPr>
            <w:r>
              <w:rPr>
                <w:rFonts w:ascii="Calibri" w:hAnsi="Calibri" w:cs="Calibri"/>
                <w:sz w:val="20"/>
                <w:szCs w:val="20"/>
              </w:rPr>
              <w:t>Building designers and contractors, architects</w:t>
            </w:r>
          </w:p>
          <w:p w:rsidR="000D5083" w:rsidRDefault="000D5083">
            <w:pPr>
              <w:numPr>
                <w:ilvl w:val="0"/>
                <w:numId w:val="7"/>
              </w:numPr>
              <w:jc w:val="both"/>
              <w:rPr>
                <w:rFonts w:ascii="Calibri" w:hAnsi="Calibri" w:cs="Calibri"/>
                <w:sz w:val="20"/>
                <w:szCs w:val="20"/>
              </w:rPr>
            </w:pPr>
            <w:r>
              <w:rPr>
                <w:rFonts w:ascii="Calibri" w:hAnsi="Calibri" w:cs="Calibri"/>
                <w:sz w:val="20"/>
                <w:szCs w:val="20"/>
              </w:rPr>
              <w:t xml:space="preserve">EE appliance importers/distributors (lamps and lighting fixtures, refrigerators and air-conditioners, water pumps, other household and office electrical appliances) </w:t>
            </w:r>
          </w:p>
          <w:p w:rsidR="000D5083" w:rsidRDefault="000D5083">
            <w:pPr>
              <w:numPr>
                <w:ilvl w:val="0"/>
                <w:numId w:val="7"/>
              </w:numPr>
              <w:jc w:val="both"/>
              <w:rPr>
                <w:rFonts w:ascii="Calibri" w:hAnsi="Calibri" w:cs="Calibri"/>
                <w:sz w:val="20"/>
                <w:szCs w:val="20"/>
              </w:rPr>
            </w:pPr>
            <w:r>
              <w:rPr>
                <w:rFonts w:ascii="Calibri" w:hAnsi="Calibri" w:cs="Calibri"/>
                <w:sz w:val="20"/>
                <w:szCs w:val="20"/>
              </w:rPr>
              <w:t>Private power producers (resort islands, independent power producers, etc.), energy consultants and engineers</w:t>
            </w:r>
          </w:p>
          <w:p w:rsidR="000D5083" w:rsidRDefault="000D5083">
            <w:pPr>
              <w:numPr>
                <w:ilvl w:val="0"/>
                <w:numId w:val="7"/>
              </w:numPr>
              <w:jc w:val="both"/>
              <w:rPr>
                <w:rFonts w:ascii="Calibri" w:hAnsi="Calibri" w:cs="Calibri"/>
                <w:sz w:val="20"/>
                <w:szCs w:val="20"/>
              </w:rPr>
            </w:pPr>
            <w:r>
              <w:rPr>
                <w:rFonts w:ascii="Calibri" w:hAnsi="Calibri" w:cs="Calibri"/>
                <w:sz w:val="20"/>
                <w:szCs w:val="20"/>
              </w:rPr>
              <w:t>Energy technology distributors and engineering companies</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4. Training Institutes</w:t>
            </w:r>
          </w:p>
          <w:p w:rsidR="000D5083" w:rsidRDefault="000D5083">
            <w:pPr>
              <w:jc w:val="both"/>
              <w:rPr>
                <w:rFonts w:ascii="Calibri" w:hAnsi="Calibri" w:cs="Calibri"/>
                <w:sz w:val="20"/>
                <w:szCs w:val="20"/>
              </w:rPr>
            </w:pPr>
            <w:r>
              <w:rPr>
                <w:rFonts w:ascii="Calibri" w:hAnsi="Calibri" w:cs="Calibri"/>
                <w:sz w:val="20"/>
                <w:szCs w:val="20"/>
              </w:rPr>
              <w:t xml:space="preserve">The institutions will be the main partners in developing local capacities. </w:t>
            </w:r>
          </w:p>
          <w:p w:rsidR="000D5083" w:rsidRDefault="000D5083">
            <w:pPr>
              <w:numPr>
                <w:ilvl w:val="0"/>
                <w:numId w:val="8"/>
              </w:numPr>
              <w:jc w:val="both"/>
              <w:rPr>
                <w:rFonts w:ascii="Calibri" w:hAnsi="Calibri" w:cs="Calibri"/>
                <w:sz w:val="20"/>
                <w:szCs w:val="20"/>
              </w:rPr>
            </w:pPr>
            <w:r>
              <w:rPr>
                <w:rFonts w:ascii="Calibri" w:hAnsi="Calibri" w:cs="Calibri"/>
                <w:sz w:val="20"/>
                <w:szCs w:val="20"/>
              </w:rPr>
              <w:t>Ministry of Education – assist in mainstreaming energy issues including renewable energy, energy conservation and develop an interest for people to work in the sector</w:t>
            </w:r>
          </w:p>
          <w:p w:rsidR="000D5083" w:rsidRDefault="000D5083">
            <w:pPr>
              <w:numPr>
                <w:ilvl w:val="0"/>
                <w:numId w:val="8"/>
              </w:numPr>
              <w:jc w:val="both"/>
              <w:rPr>
                <w:rFonts w:ascii="Calibri" w:hAnsi="Calibri" w:cs="Calibri"/>
                <w:sz w:val="20"/>
                <w:szCs w:val="20"/>
              </w:rPr>
            </w:pPr>
            <w:r>
              <w:rPr>
                <w:rFonts w:ascii="Calibri" w:hAnsi="Calibri" w:cs="Calibri"/>
                <w:sz w:val="20"/>
                <w:szCs w:val="20"/>
              </w:rPr>
              <w:t xml:space="preserve">Maldives Polytechnic – Training institution for technical energy sector related programme delivery, focus not only on engineering and technicians training, but also business management and operations (for Energy Service Companies or ESCOs) and financing </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5. GEF International Project Partners</w:t>
            </w:r>
          </w:p>
          <w:p w:rsidR="000D5083" w:rsidRDefault="000D5083">
            <w:pPr>
              <w:numPr>
                <w:ilvl w:val="0"/>
                <w:numId w:val="10"/>
              </w:numPr>
              <w:jc w:val="both"/>
              <w:rPr>
                <w:rFonts w:ascii="Calibri" w:hAnsi="Calibri" w:cs="Calibri"/>
                <w:sz w:val="20"/>
                <w:szCs w:val="20"/>
              </w:rPr>
            </w:pPr>
            <w:r>
              <w:rPr>
                <w:rFonts w:ascii="Calibri" w:hAnsi="Calibri" w:cs="Calibri"/>
                <w:sz w:val="20"/>
                <w:szCs w:val="20"/>
              </w:rPr>
              <w:t>UNEP-DTIE – lead partner, being the GEF implementing agency for this project.</w:t>
            </w:r>
          </w:p>
          <w:p w:rsidR="000D5083" w:rsidRDefault="000D5083">
            <w:pPr>
              <w:numPr>
                <w:ilvl w:val="0"/>
                <w:numId w:val="10"/>
              </w:numPr>
              <w:jc w:val="both"/>
              <w:rPr>
                <w:rFonts w:ascii="Calibri" w:hAnsi="Calibri" w:cs="Calibri"/>
                <w:sz w:val="20"/>
                <w:szCs w:val="20"/>
              </w:rPr>
            </w:pPr>
            <w:r>
              <w:rPr>
                <w:rFonts w:ascii="Calibri" w:hAnsi="Calibri" w:cs="Calibri"/>
                <w:sz w:val="20"/>
                <w:szCs w:val="20"/>
              </w:rPr>
              <w:t>UN-DESA – provides technical support and co-financing in the project component pertaining to solar and wind energy technologies, seawater cooling and energy storage</w:t>
            </w:r>
          </w:p>
          <w:p w:rsidR="000D5083" w:rsidRDefault="000D5083">
            <w:pPr>
              <w:numPr>
                <w:ilvl w:val="0"/>
                <w:numId w:val="10"/>
              </w:numPr>
              <w:jc w:val="both"/>
              <w:rPr>
                <w:rFonts w:ascii="Calibri" w:hAnsi="Calibri" w:cs="Calibri"/>
                <w:sz w:val="20"/>
                <w:szCs w:val="20"/>
              </w:rPr>
            </w:pPr>
            <w:r>
              <w:rPr>
                <w:rFonts w:ascii="Calibri" w:hAnsi="Calibri" w:cs="Calibri"/>
                <w:sz w:val="20"/>
                <w:szCs w:val="20"/>
              </w:rPr>
              <w:t>UNOPS Country office – provides technical and co-financing in the project component pertaining to energy efficient buildings</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6. Other International Partners</w:t>
            </w:r>
          </w:p>
          <w:p w:rsidR="000D5083" w:rsidRDefault="000D5083">
            <w:pPr>
              <w:numPr>
                <w:ilvl w:val="0"/>
                <w:numId w:val="11"/>
              </w:numPr>
              <w:jc w:val="both"/>
              <w:rPr>
                <w:rFonts w:ascii="Calibri" w:hAnsi="Calibri" w:cs="Calibri"/>
                <w:sz w:val="20"/>
                <w:szCs w:val="20"/>
              </w:rPr>
            </w:pPr>
            <w:r>
              <w:rPr>
                <w:rFonts w:ascii="Calibri" w:hAnsi="Calibri" w:cs="Calibri"/>
                <w:sz w:val="20"/>
                <w:szCs w:val="20"/>
              </w:rPr>
              <w:t>ADB-SREP – will be implement a program to scale-up RE technologies (see discussions below).</w:t>
            </w:r>
          </w:p>
          <w:p w:rsidR="000D5083" w:rsidRDefault="000D5083">
            <w:pPr>
              <w:numPr>
                <w:ilvl w:val="0"/>
                <w:numId w:val="11"/>
              </w:numPr>
              <w:jc w:val="both"/>
              <w:rPr>
                <w:rFonts w:ascii="Calibri" w:hAnsi="Calibri" w:cs="Calibri"/>
                <w:sz w:val="20"/>
                <w:szCs w:val="20"/>
              </w:rPr>
            </w:pPr>
            <w:r>
              <w:rPr>
                <w:rFonts w:ascii="Calibri" w:hAnsi="Calibri" w:cs="Calibri"/>
                <w:sz w:val="20"/>
                <w:szCs w:val="20"/>
              </w:rPr>
              <w:t xml:space="preserve">JICA – has conducted techno-economic feasibility studies on embedded PV systems (rooftop installation) focusing on government buildings and will install the first commercial scale pilot project </w:t>
            </w:r>
          </w:p>
          <w:p w:rsidR="000D5083" w:rsidRDefault="000D5083">
            <w:pPr>
              <w:numPr>
                <w:ilvl w:val="0"/>
                <w:numId w:val="11"/>
              </w:numPr>
              <w:jc w:val="both"/>
              <w:rPr>
                <w:rFonts w:ascii="Calibri" w:hAnsi="Calibri" w:cs="Calibri"/>
                <w:sz w:val="20"/>
                <w:szCs w:val="20"/>
              </w:rPr>
            </w:pPr>
            <w:r>
              <w:rPr>
                <w:rFonts w:ascii="Calibri" w:hAnsi="Calibri" w:cs="Calibri"/>
                <w:sz w:val="20"/>
                <w:szCs w:val="20"/>
              </w:rPr>
              <w:t xml:space="preserve">Other donors – include the WB Clean Technology Fund, initial discussions with Norway </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 xml:space="preserve">7. Financing Sector </w:t>
            </w:r>
          </w:p>
          <w:p w:rsidR="000D5083" w:rsidRDefault="000D5083">
            <w:pPr>
              <w:spacing w:after="120"/>
            </w:pPr>
            <w:r>
              <w:rPr>
                <w:rFonts w:ascii="Calibri" w:hAnsi="Calibri" w:cs="Calibri"/>
                <w:sz w:val="20"/>
                <w:szCs w:val="20"/>
              </w:rPr>
              <w:t xml:space="preserve">Initial discussions with private banks expressing interest to provide financing to IPPs interested in public-private sector partnership for embedded generation. </w:t>
            </w:r>
            <w:r w:rsidR="0082156C">
              <w:rPr>
                <w:rFonts w:ascii="Calibri" w:hAnsi="Calibri" w:cs="Calibri"/>
                <w:sz w:val="20"/>
                <w:szCs w:val="20"/>
              </w:rPr>
              <w:fldChar w:fldCharType="begin">
                <w:ffData>
                  <w:name w:val="identifyStakeHolders"/>
                  <w:enabled/>
                  <w:calcOnExit w:val="0"/>
                  <w:textInput/>
                </w:ffData>
              </w:fldChar>
            </w:r>
            <w:r>
              <w:rPr>
                <w:rFonts w:ascii="Calibri" w:hAnsi="Calibri" w:cs="Calibri"/>
                <w:sz w:val="20"/>
                <w:szCs w:val="20"/>
              </w:rPr>
              <w:instrText xml:space="preserve"> FORMTEXT </w:instrText>
            </w:r>
            <w:r w:rsidR="0082156C">
              <w:rPr>
                <w:rFonts w:ascii="Calibri" w:hAnsi="Calibri" w:cs="Calibri"/>
                <w:sz w:val="20"/>
                <w:szCs w:val="20"/>
              </w:rPr>
            </w:r>
            <w:r w:rsidR="0082156C">
              <w:rPr>
                <w:rFonts w:ascii="Calibri" w:hAnsi="Calibri" w:cs="Calibri"/>
                <w:sz w:val="20"/>
                <w:szCs w:val="20"/>
              </w:rPr>
              <w:fldChar w:fldCharType="separate"/>
            </w:r>
            <w:r>
              <w:rPr>
                <w:rFonts w:ascii="Calibri" w:hAnsi="Calibri" w:cs="Calibri"/>
                <w:noProof/>
                <w:sz w:val="20"/>
                <w:szCs w:val="20"/>
              </w:rPr>
              <w:t> </w:t>
            </w:r>
            <w:r>
              <w:rPr>
                <w:rFonts w:ascii="Calibri" w:hAnsi="Calibri" w:cs="Calibri"/>
                <w:noProof/>
                <w:sz w:val="20"/>
                <w:szCs w:val="20"/>
              </w:rPr>
              <w:t> </w:t>
            </w:r>
            <w:r>
              <w:rPr>
                <w:rFonts w:ascii="Calibri" w:hAnsi="Calibri" w:cs="Calibri"/>
                <w:noProof/>
                <w:sz w:val="20"/>
                <w:szCs w:val="20"/>
              </w:rPr>
              <w:t> </w:t>
            </w:r>
            <w:r>
              <w:rPr>
                <w:rFonts w:ascii="Calibri" w:hAnsi="Calibri" w:cs="Calibri"/>
                <w:noProof/>
                <w:sz w:val="20"/>
                <w:szCs w:val="20"/>
              </w:rPr>
              <w:t> </w:t>
            </w:r>
            <w:r>
              <w:rPr>
                <w:rFonts w:ascii="Calibri" w:hAnsi="Calibri" w:cs="Calibri"/>
                <w:noProof/>
                <w:sz w:val="20"/>
                <w:szCs w:val="20"/>
              </w:rPr>
              <w:t> </w:t>
            </w:r>
            <w:r w:rsidR="0082156C">
              <w:rPr>
                <w:rFonts w:ascii="Calibri" w:hAnsi="Calibri" w:cs="Calibri"/>
                <w:sz w:val="20"/>
                <w:szCs w:val="20"/>
              </w:rPr>
              <w:fldChar w:fldCharType="end"/>
            </w:r>
            <w:bookmarkEnd w:id="294"/>
          </w:p>
        </w:tc>
      </w:tr>
    </w:tbl>
    <w:p w:rsidR="000D5083" w:rsidRDefault="000D5083">
      <w:pPr>
        <w:spacing w:after="120"/>
        <w:ind w:left="720" w:hanging="360"/>
        <w:rPr>
          <w:color w:val="000000"/>
          <w:sz w:val="22"/>
          <w:szCs w:val="22"/>
        </w:rPr>
      </w:pPr>
      <w:r>
        <w:rPr>
          <w:sz w:val="22"/>
          <w:szCs w:val="22"/>
        </w:rPr>
        <w:t>B.6. Outline the coordination with other related initiatives:</w:t>
      </w:r>
    </w:p>
    <w:tbl>
      <w:tblPr>
        <w:tblW w:w="9588" w:type="dxa"/>
        <w:tblInd w:w="-106" w:type="dxa"/>
        <w:tblLook w:val="00A0"/>
      </w:tblPr>
      <w:tblGrid>
        <w:gridCol w:w="9588"/>
      </w:tblGrid>
      <w:tr w:rsidR="000D5083">
        <w:tc>
          <w:tcPr>
            <w:tcW w:w="9588" w:type="dxa"/>
          </w:tcPr>
          <w:p w:rsidR="000D5083" w:rsidRDefault="000D5083">
            <w:pPr>
              <w:tabs>
                <w:tab w:val="num" w:pos="720"/>
              </w:tabs>
              <w:spacing w:after="144"/>
              <w:jc w:val="both"/>
              <w:rPr>
                <w:rFonts w:ascii="Calibri" w:hAnsi="Calibri" w:cs="Calibri"/>
                <w:noProof/>
                <w:sz w:val="20"/>
                <w:szCs w:val="20"/>
              </w:rPr>
            </w:pPr>
            <w:r>
              <w:rPr>
                <w:rFonts w:ascii="Calibri" w:hAnsi="Calibri" w:cs="Calibri"/>
                <w:smallCaps/>
                <w:noProof/>
                <w:sz w:val="20"/>
                <w:szCs w:val="20"/>
                <w:u w:val="single"/>
              </w:rPr>
              <w:t>MHE Housing Projects</w:t>
            </w:r>
            <w:r>
              <w:rPr>
                <w:rFonts w:ascii="Calibri" w:hAnsi="Calibri" w:cs="Calibri"/>
                <w:smallCaps/>
                <w:noProof/>
                <w:sz w:val="20"/>
                <w:szCs w:val="20"/>
              </w:rPr>
              <w:t xml:space="preserve"> – </w:t>
            </w:r>
            <w:r>
              <w:rPr>
                <w:rFonts w:ascii="Calibri" w:hAnsi="Calibri" w:cs="Calibri"/>
                <w:noProof/>
                <w:sz w:val="20"/>
                <w:szCs w:val="20"/>
              </w:rPr>
              <w:t xml:space="preserve">This proposed GEF project will link to and provide inputs to making energy efficient and low-carbon energy the planned mass housing projects that will be undertaken by the government. China will provide $US 75.8 M investments while India US4 36.25M to these housing projects which targeted to start around 2012. </w:t>
            </w:r>
          </w:p>
          <w:p w:rsidR="000D5083" w:rsidRDefault="000D5083">
            <w:pPr>
              <w:tabs>
                <w:tab w:val="num" w:pos="720"/>
              </w:tabs>
              <w:spacing w:after="144"/>
              <w:jc w:val="both"/>
              <w:rPr>
                <w:rFonts w:ascii="Calibri" w:hAnsi="Calibri" w:cs="Calibri"/>
                <w:noProof/>
                <w:sz w:val="20"/>
                <w:szCs w:val="20"/>
              </w:rPr>
            </w:pPr>
            <w:r>
              <w:rPr>
                <w:rFonts w:ascii="Calibri" w:hAnsi="Calibri" w:cs="Calibri"/>
                <w:smallCaps/>
                <w:noProof/>
                <w:sz w:val="20"/>
                <w:szCs w:val="20"/>
                <w:u w:val="single"/>
              </w:rPr>
              <w:t>UN-DESA DA Project</w:t>
            </w:r>
            <w:r>
              <w:rPr>
                <w:rFonts w:ascii="Calibri" w:hAnsi="Calibri" w:cs="Calibri"/>
                <w:smallCaps/>
                <w:noProof/>
                <w:sz w:val="20"/>
                <w:szCs w:val="20"/>
              </w:rPr>
              <w:t xml:space="preserve"> - </w:t>
            </w:r>
            <w:r>
              <w:rPr>
                <w:rFonts w:ascii="Calibri" w:hAnsi="Calibri" w:cs="Calibri"/>
                <w:noProof/>
                <w:sz w:val="20"/>
                <w:szCs w:val="20"/>
              </w:rPr>
              <w:t xml:space="preserve">The UN-DESA DA project aims to implement activities that will strengthen and focus current efforts in promoting invesments and build-up markets for both RE and EE and thus concretely move the country to its goal of zero-carbon emssion in 2020. This project will complement and support on-going and planned projects by other donor and development agencies, and will help facilitate efforts to encouragee parties taking interest in investing in RE and EE projects in the country. The UN-DESA DA SIDS project are expected to provide co-funding and become co-EAs of the GEF project. GEF project will also aim to complement and provide support to the planned  SREP program. </w:t>
            </w:r>
          </w:p>
          <w:p w:rsidR="000D5083" w:rsidRDefault="000D5083">
            <w:pPr>
              <w:tabs>
                <w:tab w:val="num" w:pos="720"/>
              </w:tabs>
              <w:spacing w:after="144"/>
              <w:jc w:val="both"/>
              <w:rPr>
                <w:rFonts w:ascii="Calibri" w:hAnsi="Calibri" w:cs="Calibri"/>
                <w:noProof/>
                <w:sz w:val="20"/>
                <w:szCs w:val="20"/>
              </w:rPr>
            </w:pPr>
            <w:r>
              <w:rPr>
                <w:rFonts w:ascii="Calibri" w:hAnsi="Calibri" w:cs="Calibri"/>
                <w:smallCaps/>
                <w:noProof/>
                <w:sz w:val="20"/>
                <w:szCs w:val="20"/>
                <w:u w:val="single"/>
              </w:rPr>
              <w:t>JICA Solar PV Project</w:t>
            </w:r>
            <w:r>
              <w:rPr>
                <w:rFonts w:ascii="Calibri" w:hAnsi="Calibri" w:cs="Calibri"/>
                <w:smallCaps/>
                <w:noProof/>
                <w:sz w:val="20"/>
                <w:szCs w:val="20"/>
              </w:rPr>
              <w:t xml:space="preserve"> - </w:t>
            </w:r>
            <w:r>
              <w:rPr>
                <w:rFonts w:ascii="Calibri" w:hAnsi="Calibri" w:cs="Calibri"/>
                <w:noProof/>
                <w:sz w:val="20"/>
                <w:szCs w:val="20"/>
              </w:rPr>
              <w:t>JICA is curently in discussion with MHE for the implementation of a pilot project grid-connected embedded PV systems. The pilot project aims to install up to 480KWp roof-mounted PV installation in six locations, ranging from 20kWp (President’s Office) to a school (130 kWp). This a BIPV project that will also incorporate interventions on EE designs and technologies that will provide inputs the techno-economic and analyses of such interventions needed by this proposed GEF  project..</w:t>
            </w:r>
          </w:p>
          <w:p w:rsidR="000D5083" w:rsidRDefault="000D5083">
            <w:pPr>
              <w:tabs>
                <w:tab w:val="num" w:pos="720"/>
              </w:tabs>
              <w:spacing w:after="144"/>
              <w:jc w:val="both"/>
              <w:rPr>
                <w:rFonts w:ascii="Calibri" w:hAnsi="Calibri" w:cs="Calibri"/>
              </w:rPr>
            </w:pPr>
            <w:r>
              <w:rPr>
                <w:rFonts w:ascii="Calibri" w:hAnsi="Calibri" w:cs="Calibri"/>
                <w:sz w:val="20"/>
                <w:szCs w:val="20"/>
              </w:rPr>
              <w:t>This GEF project will also establish cooperation and c</w:t>
            </w:r>
            <w:r>
              <w:rPr>
                <w:rFonts w:ascii="Calibri" w:hAnsi="Calibri" w:cs="Calibri"/>
                <w:spacing w:val="-1"/>
                <w:sz w:val="20"/>
                <w:szCs w:val="20"/>
              </w:rPr>
              <w:t>o</w:t>
            </w:r>
            <w:r>
              <w:rPr>
                <w:rFonts w:ascii="Calibri" w:hAnsi="Calibri" w:cs="Calibri"/>
                <w:sz w:val="20"/>
                <w:szCs w:val="20"/>
              </w:rPr>
              <w:t xml:space="preserve">ordinationeffortswiththe </w:t>
            </w:r>
            <w:r>
              <w:rPr>
                <w:rFonts w:ascii="Calibri" w:hAnsi="Calibri" w:cs="Calibri"/>
                <w:sz w:val="20"/>
                <w:szCs w:val="20"/>
                <w:u w:val="single"/>
              </w:rPr>
              <w:t>IPEEC/susta</w:t>
            </w:r>
            <w:r>
              <w:rPr>
                <w:rFonts w:ascii="Calibri" w:hAnsi="Calibri" w:cs="Calibri"/>
                <w:spacing w:val="1"/>
                <w:sz w:val="20"/>
                <w:szCs w:val="20"/>
                <w:u w:val="single"/>
              </w:rPr>
              <w:t>in</w:t>
            </w:r>
            <w:r>
              <w:rPr>
                <w:rFonts w:ascii="Calibri" w:hAnsi="Calibri" w:cs="Calibri"/>
                <w:sz w:val="20"/>
                <w:szCs w:val="20"/>
                <w:u w:val="single"/>
              </w:rPr>
              <w:t>ablebuild</w:t>
            </w:r>
            <w:r>
              <w:rPr>
                <w:rFonts w:ascii="Calibri" w:hAnsi="Calibri" w:cs="Calibri"/>
                <w:spacing w:val="-1"/>
                <w:sz w:val="20"/>
                <w:szCs w:val="20"/>
                <w:u w:val="single"/>
              </w:rPr>
              <w:t>in</w:t>
            </w:r>
            <w:r>
              <w:rPr>
                <w:rFonts w:ascii="Calibri" w:hAnsi="Calibri" w:cs="Calibri"/>
                <w:sz w:val="20"/>
                <w:szCs w:val="20"/>
                <w:u w:val="single"/>
              </w:rPr>
              <w:t>gnetwork</w:t>
            </w:r>
            <w:r>
              <w:rPr>
                <w:rFonts w:ascii="Calibri" w:hAnsi="Calibri" w:cs="Calibri"/>
              </w:rPr>
              <w:t>.</w:t>
            </w:r>
          </w:p>
          <w:p w:rsidR="000D5083" w:rsidRDefault="000D5083">
            <w:pPr>
              <w:tabs>
                <w:tab w:val="num" w:pos="720"/>
              </w:tabs>
              <w:spacing w:after="144"/>
              <w:jc w:val="both"/>
              <w:rPr>
                <w:rFonts w:ascii="Calibri" w:hAnsi="Calibri" w:cs="Calibri"/>
                <w:color w:val="000000"/>
              </w:rPr>
            </w:pPr>
            <w:r>
              <w:rPr>
                <w:rFonts w:ascii="Calibri" w:hAnsi="Calibri" w:cs="Calibri"/>
                <w:smallCaps/>
                <w:noProof/>
                <w:sz w:val="20"/>
                <w:szCs w:val="20"/>
                <w:u w:val="single"/>
              </w:rPr>
              <w:t>ADB-SREP Project</w:t>
            </w:r>
            <w:r>
              <w:rPr>
                <w:rFonts w:ascii="Calibri" w:hAnsi="Calibri" w:cs="Calibri"/>
                <w:smallCaps/>
                <w:noProof/>
                <w:sz w:val="20"/>
                <w:szCs w:val="20"/>
              </w:rPr>
              <w:t xml:space="preserve"> - </w:t>
            </w:r>
            <w:r>
              <w:rPr>
                <w:rFonts w:ascii="Calibri" w:hAnsi="Calibri" w:cs="Calibri"/>
                <w:noProof/>
                <w:sz w:val="20"/>
                <w:szCs w:val="20"/>
              </w:rPr>
              <w:t>The Program on Scaling-Up Renewable Energy in Low Income Countries (SREP) is a targeted program of the Strategic Climate Fund (SCF), which is within the framework of the Climate Investment Funds (CIF).Maldives was selected by the SREP sub-committee as one of six pilot countries to receive funding for financing renewable energy investments in the country. In June 2010, the SREP sub-committee agreed on an indicative allocation of up to $30 million for Maldives, which are expected to leverage, additional resources on a scale of 1:4 (or approximately US$120 million). The proposed GEF project will complement work done by SREP in the RE sector with its activities in the EE sector.</w:t>
            </w:r>
          </w:p>
        </w:tc>
      </w:tr>
    </w:tbl>
    <w:p w:rsidR="000D5083" w:rsidRDefault="000D5083">
      <w:pPr>
        <w:ind w:left="360" w:hanging="360"/>
        <w:rPr>
          <w:sz w:val="22"/>
          <w:szCs w:val="22"/>
        </w:rPr>
      </w:pPr>
      <w:r>
        <w:rPr>
          <w:b/>
          <w:bCs/>
          <w:smallCaps/>
          <w:sz w:val="22"/>
          <w:szCs w:val="22"/>
        </w:rPr>
        <w:t xml:space="preserve">C.   describe the GEF agency’s comparative advantage to implement this project:  </w:t>
      </w:r>
    </w:p>
    <w:tbl>
      <w:tblPr>
        <w:tblW w:w="9588" w:type="dxa"/>
        <w:tblInd w:w="-106" w:type="dxa"/>
        <w:tblLook w:val="00A0"/>
      </w:tblPr>
      <w:tblGrid>
        <w:gridCol w:w="9588"/>
      </w:tblGrid>
      <w:tr w:rsidR="000D5083">
        <w:tc>
          <w:tcPr>
            <w:tcW w:w="9588" w:type="dxa"/>
          </w:tcPr>
          <w:p w:rsidR="000D5083" w:rsidRDefault="000D5083">
            <w:pPr>
              <w:autoSpaceDE w:val="0"/>
              <w:autoSpaceDN w:val="0"/>
              <w:adjustRightInd w:val="0"/>
              <w:spacing w:after="140"/>
              <w:jc w:val="both"/>
              <w:rPr>
                <w:rFonts w:ascii="Calibri" w:eastAsia="SymbolMT" w:hAnsi="Calibri" w:cs="Calibri"/>
                <w:sz w:val="20"/>
                <w:szCs w:val="20"/>
              </w:rPr>
            </w:pPr>
            <w:r>
              <w:rPr>
                <w:rFonts w:ascii="Calibri" w:eastAsia="SymbolMT" w:hAnsi="Calibri" w:cs="Calibri"/>
                <w:sz w:val="20"/>
                <w:szCs w:val="20"/>
              </w:rPr>
              <w:t xml:space="preserve">The problems of climate change and energy security will not be solved without significant improvement in the performance of buildings. The greatest need for new and more cost-effective technological solutions lies in tropical and sub-tropical countries, as it is more technically difficult to keep the interior of a building cool and dry in a hot, humid climate than to keep it warm in a cold climate. Levels of energy efficiency in buildings in countries like the Maldives are currently low. This means that the building sector has a considerable potential for positive change, to become far more efficient in terms of resource use, less environmentally intensive, and less costly. But, there are still a range of technological, economic and marketing barriers to widespread uptake. This project will help to resolve those barriers. For example, the project will provide a cost-benefit analysis of each energy efficiency option, and explain the pay-back period, so that consumers can make better decisions. Integrated solutions offer greater efficiency gains, while the integration of building and appliance design will allow costs to be factored in to selling prices, thus de-fragmenting the market place and removing the main financial disincentive to adoption. </w:t>
            </w:r>
          </w:p>
          <w:p w:rsidR="000D5083" w:rsidRDefault="000D5083">
            <w:pPr>
              <w:autoSpaceDE w:val="0"/>
              <w:autoSpaceDN w:val="0"/>
              <w:adjustRightInd w:val="0"/>
              <w:spacing w:after="140"/>
              <w:jc w:val="both"/>
              <w:rPr>
                <w:rFonts w:ascii="Calibri" w:eastAsia="SymbolMT" w:hAnsi="Calibri" w:cs="Calibri"/>
                <w:sz w:val="20"/>
                <w:szCs w:val="20"/>
              </w:rPr>
            </w:pPr>
            <w:r>
              <w:rPr>
                <w:rFonts w:ascii="Calibri" w:eastAsia="SymbolMT" w:hAnsi="Calibri" w:cs="Calibri"/>
                <w:sz w:val="20"/>
                <w:szCs w:val="20"/>
              </w:rPr>
              <w:t>This is the key mitigating opportunity for greenhouse gas emissions that this proposed GEF project will provide proof of concept for through normative and capacity building activities. Integration of the project results with UNEP priority programs and activities will also lead to a wider impact and significant multiplier for the investment of GEF and UNEP resources, not just for island states, but probably on a global scale too.</w:t>
            </w:r>
          </w:p>
          <w:p w:rsidR="000D5083" w:rsidRDefault="000D5083">
            <w:pPr>
              <w:autoSpaceDE w:val="0"/>
              <w:autoSpaceDN w:val="0"/>
              <w:adjustRightInd w:val="0"/>
              <w:jc w:val="both"/>
              <w:rPr>
                <w:rFonts w:ascii="Calibri" w:hAnsi="Calibri" w:cs="Calibri"/>
                <w:sz w:val="20"/>
                <w:szCs w:val="20"/>
              </w:rPr>
            </w:pPr>
            <w:r>
              <w:rPr>
                <w:rFonts w:ascii="Calibri" w:hAnsi="Calibri" w:cs="Calibri"/>
                <w:sz w:val="20"/>
                <w:szCs w:val="20"/>
              </w:rPr>
              <w:t>For the period 2010-2013 UNEP will exercising environmental leadership on six cross-cutting thematic priorities. This includes climate change mitigation. UNEP will therefore support countries to make a transition to more efficient use of energy, energy conservation, and utilization of cleaner energy sources.</w:t>
            </w:r>
          </w:p>
          <w:p w:rsidR="000D5083" w:rsidRDefault="000D5083">
            <w:pPr>
              <w:autoSpaceDE w:val="0"/>
              <w:autoSpaceDN w:val="0"/>
              <w:adjustRightInd w:val="0"/>
              <w:jc w:val="both"/>
              <w:rPr>
                <w:rFonts w:ascii="Calibri" w:hAnsi="Calibri" w:cs="Calibri"/>
                <w:sz w:val="20"/>
                <w:szCs w:val="20"/>
              </w:rPr>
            </w:pPr>
          </w:p>
          <w:p w:rsidR="000D5083" w:rsidRDefault="000D5083">
            <w:pPr>
              <w:autoSpaceDE w:val="0"/>
              <w:autoSpaceDN w:val="0"/>
              <w:adjustRightInd w:val="0"/>
              <w:jc w:val="both"/>
              <w:rPr>
                <w:rFonts w:ascii="Calibri" w:hAnsi="Calibri" w:cs="Calibri"/>
                <w:sz w:val="20"/>
                <w:szCs w:val="20"/>
              </w:rPr>
            </w:pPr>
            <w:r>
              <w:rPr>
                <w:rFonts w:ascii="Calibri" w:hAnsi="Calibri" w:cs="Calibri"/>
                <w:sz w:val="20"/>
                <w:szCs w:val="20"/>
              </w:rPr>
              <w:t>Under UNEP’s Medium Term Strategy the project supports the following outcomes:</w:t>
            </w:r>
          </w:p>
          <w:p w:rsidR="000D5083" w:rsidRDefault="000D5083">
            <w:pPr>
              <w:numPr>
                <w:ilvl w:val="0"/>
                <w:numId w:val="13"/>
              </w:numPr>
              <w:autoSpaceDE w:val="0"/>
              <w:autoSpaceDN w:val="0"/>
              <w:adjustRightInd w:val="0"/>
              <w:rPr>
                <w:rFonts w:ascii="Calibri" w:hAnsi="Calibri" w:cs="Calibri"/>
                <w:sz w:val="20"/>
                <w:szCs w:val="20"/>
              </w:rPr>
            </w:pPr>
            <w:r>
              <w:rPr>
                <w:rFonts w:ascii="Calibri" w:hAnsi="Calibri" w:cs="Calibri"/>
                <w:sz w:val="20"/>
                <w:szCs w:val="20"/>
              </w:rPr>
              <w:t>Normative approaches (standards, labels, certification) to energy efficiency for various kinds of appliances and equipment will be supported;</w:t>
            </w:r>
          </w:p>
          <w:p w:rsidR="000D5083" w:rsidRDefault="000D5083">
            <w:pPr>
              <w:numPr>
                <w:ilvl w:val="0"/>
                <w:numId w:val="13"/>
              </w:numPr>
              <w:autoSpaceDE w:val="0"/>
              <w:autoSpaceDN w:val="0"/>
              <w:adjustRightInd w:val="0"/>
              <w:rPr>
                <w:rFonts w:ascii="Calibri" w:hAnsi="Calibri" w:cs="Calibri"/>
                <w:sz w:val="20"/>
                <w:szCs w:val="20"/>
              </w:rPr>
            </w:pPr>
            <w:r>
              <w:rPr>
                <w:rFonts w:ascii="Calibri" w:hAnsi="Calibri" w:cs="Calibri"/>
                <w:sz w:val="20"/>
                <w:szCs w:val="20"/>
              </w:rPr>
              <w:t>Macro-economic and sector analyses of policy options for reducing greenhouse gas emissions, including technology transfer, will be undertaken and utilized;</w:t>
            </w:r>
          </w:p>
          <w:p w:rsidR="000D5083" w:rsidRDefault="000D5083">
            <w:pPr>
              <w:numPr>
                <w:ilvl w:val="0"/>
                <w:numId w:val="13"/>
              </w:numPr>
              <w:autoSpaceDE w:val="0"/>
              <w:autoSpaceDN w:val="0"/>
              <w:adjustRightInd w:val="0"/>
              <w:rPr>
                <w:rFonts w:ascii="Calibri" w:hAnsi="Calibri" w:cs="Calibri"/>
                <w:sz w:val="20"/>
                <w:szCs w:val="20"/>
              </w:rPr>
            </w:pPr>
            <w:r>
              <w:rPr>
                <w:rFonts w:ascii="Calibri" w:hAnsi="Calibri" w:cs="Calibri"/>
                <w:sz w:val="20"/>
                <w:szCs w:val="20"/>
              </w:rPr>
              <w:t>Barriers will be removed and access to renewable and energy-efficient technologies improved through the targeted analysis of costs, risks and opportunities of energy-efficient and low-carbon technologies and solutions; and</w:t>
            </w:r>
          </w:p>
          <w:p w:rsidR="000D5083" w:rsidRDefault="000D5083">
            <w:pPr>
              <w:numPr>
                <w:ilvl w:val="0"/>
                <w:numId w:val="13"/>
              </w:numPr>
              <w:autoSpaceDE w:val="0"/>
              <w:autoSpaceDN w:val="0"/>
              <w:adjustRightInd w:val="0"/>
              <w:spacing w:after="144"/>
              <w:rPr>
                <w:rFonts w:ascii="Calibri" w:hAnsi="Calibri" w:cs="Calibri"/>
                <w:sz w:val="20"/>
                <w:szCs w:val="20"/>
              </w:rPr>
            </w:pPr>
            <w:r>
              <w:rPr>
                <w:rFonts w:ascii="Calibri" w:hAnsi="Calibri" w:cs="Calibri"/>
                <w:sz w:val="20"/>
                <w:szCs w:val="20"/>
              </w:rPr>
              <w:t>The national institutional capacity for assessing and allocating public funding and leveraging private investment for energy-related projects will be strengthened.</w:t>
            </w:r>
          </w:p>
          <w:p w:rsidR="000D5083" w:rsidRDefault="000D5083">
            <w:pPr>
              <w:autoSpaceDE w:val="0"/>
              <w:autoSpaceDN w:val="0"/>
              <w:adjustRightInd w:val="0"/>
              <w:spacing w:after="144"/>
              <w:jc w:val="both"/>
              <w:rPr>
                <w:rFonts w:ascii="Calibri" w:hAnsi="Calibri" w:cs="Calibri"/>
                <w:sz w:val="20"/>
                <w:szCs w:val="20"/>
              </w:rPr>
            </w:pPr>
            <w:r>
              <w:rPr>
                <w:rFonts w:ascii="Calibri" w:hAnsi="Calibri" w:cs="Calibri"/>
                <w:sz w:val="20"/>
                <w:szCs w:val="20"/>
              </w:rPr>
              <w:t>UNEP-DTIE’s Sustainable Buildings and Construction Initiative (SBCI) is a UN partnership established to promote more sustainable buildings, which includes increasing their energy efficiency. SBCI works in cooperation with other international sustainable buildings initiatives, including the Marrakech Task Force on Sustainable Buildings and Construction (MTF), the Energy Efficiency in Buildings project of the World Business Council for Sustainable Development (WBCSD), and the World Green Building Council (WGBC). The SBCI also provide a connection with major industry players that can advise and assist the project. There is also a UNEP-GEF project that supports National Cleaner Production Centres; their activities have included audits and ESCOs in buildings.</w:t>
            </w:r>
          </w:p>
          <w:p w:rsidR="000D5083" w:rsidRDefault="000D5083">
            <w:pPr>
              <w:autoSpaceDE w:val="0"/>
              <w:autoSpaceDN w:val="0"/>
              <w:adjustRightInd w:val="0"/>
              <w:spacing w:after="144"/>
              <w:rPr>
                <w:rFonts w:ascii="Calibri" w:hAnsi="Calibri" w:cs="Calibri"/>
                <w:sz w:val="20"/>
                <w:szCs w:val="20"/>
              </w:rPr>
            </w:pPr>
            <w:r>
              <w:rPr>
                <w:rFonts w:ascii="Calibri" w:hAnsi="Calibri" w:cs="Calibri"/>
                <w:sz w:val="20"/>
                <w:szCs w:val="20"/>
              </w:rPr>
              <w:t>UNEP-ROAP (Regional Office for Asia and the Pacific) is well positioned to provide the needed technical and operational support and backstopping for this proposed project.DTIE has technical staff assigned in ROAP to provide the technical advice and supervision required by projects in the region. ROAP and DTIE have been doing these for both GEF and non-GEF-funded country projects that UNEP has initiated and is currently managing in the region; including those in small island states such as the Maldives.</w:t>
            </w:r>
          </w:p>
          <w:p w:rsidR="000D5083" w:rsidRDefault="000D5083">
            <w:pPr>
              <w:autoSpaceDE w:val="0"/>
              <w:autoSpaceDN w:val="0"/>
              <w:adjustRightInd w:val="0"/>
              <w:jc w:val="both"/>
              <w:rPr>
                <w:rFonts w:ascii="Calibri" w:hAnsi="Calibri" w:cs="Calibri"/>
                <w:sz w:val="20"/>
                <w:szCs w:val="20"/>
              </w:rPr>
            </w:pPr>
            <w:r>
              <w:rPr>
                <w:rFonts w:ascii="Calibri" w:hAnsi="Calibri" w:cs="Calibri"/>
                <w:sz w:val="20"/>
                <w:szCs w:val="20"/>
              </w:rPr>
              <w:t>This project will build on ongoing programs at UNEP to develop and disseminate energy efficiency andsustainable technologies in building use and construction. UNEP’s comparative advantage is in providing relevant expertise, evidence of proof of concept, access to relevant research in building technologies and in brokering multi-stakeholder projects and consultations.</w:t>
            </w:r>
          </w:p>
          <w:p w:rsidR="000D5083" w:rsidRDefault="000D5083">
            <w:pPr>
              <w:autoSpaceDE w:val="0"/>
              <w:autoSpaceDN w:val="0"/>
              <w:adjustRightInd w:val="0"/>
              <w:jc w:val="both"/>
            </w:pPr>
          </w:p>
        </w:tc>
      </w:tr>
    </w:tbl>
    <w:p w:rsidR="000D5083" w:rsidRDefault="000D5083">
      <w:pPr>
        <w:spacing w:after="120"/>
        <w:ind w:left="360"/>
        <w:rPr>
          <w:sz w:val="22"/>
          <w:szCs w:val="22"/>
        </w:rPr>
      </w:pPr>
      <w:r>
        <w:rPr>
          <w:sz w:val="22"/>
          <w:szCs w:val="22"/>
        </w:rPr>
        <w:t xml:space="preserve">C.1   Indicate the co-financing amount the GEF agency is bringing to the project: </w:t>
      </w:r>
    </w:p>
    <w:tbl>
      <w:tblPr>
        <w:tblW w:w="9588" w:type="dxa"/>
        <w:tblInd w:w="-106" w:type="dxa"/>
        <w:tblLook w:val="00A0"/>
      </w:tblPr>
      <w:tblGrid>
        <w:gridCol w:w="9588"/>
      </w:tblGrid>
      <w:tr w:rsidR="000D5083">
        <w:tc>
          <w:tcPr>
            <w:tcW w:w="9588" w:type="dxa"/>
          </w:tcPr>
          <w:p w:rsidR="000D5083" w:rsidRDefault="000D5083">
            <w:pPr>
              <w:spacing w:after="144"/>
              <w:jc w:val="both"/>
              <w:rPr>
                <w:rFonts w:ascii="Calibri" w:hAnsi="Calibri" w:cs="Calibri"/>
                <w:sz w:val="20"/>
                <w:szCs w:val="20"/>
              </w:rPr>
            </w:pPr>
            <w:r>
              <w:rPr>
                <w:rFonts w:ascii="Calibri" w:hAnsi="Calibri" w:cs="Calibri"/>
                <w:sz w:val="20"/>
                <w:szCs w:val="20"/>
              </w:rPr>
              <w:t xml:space="preserve">UNEP through DTIE has not only been involved, but is also in the forefront of innovative projects, activities and interventions to promote commercialization, investments and market transformation for energy efficient, renewable energy and other low-carbon energy technologies that pave the way for countries to reduce GHG emissions in the production and use of energy. Several of DTIE’s on-going projects and activities are discussed below. Lessons, expertise and other in-kind support can be drawn from them for this proposed GEF5 LCE project for the Maldives.  The following are current projects and activities of UNEP-DTIE that will provide mostly </w:t>
            </w:r>
            <w:r>
              <w:rPr>
                <w:rFonts w:ascii="Calibri" w:hAnsi="Calibri" w:cs="Calibri"/>
                <w:i/>
                <w:iCs/>
                <w:sz w:val="20"/>
                <w:szCs w:val="20"/>
              </w:rPr>
              <w:t>in-kind support</w:t>
            </w:r>
            <w:r>
              <w:rPr>
                <w:rFonts w:ascii="Calibri" w:hAnsi="Calibri" w:cs="Calibri"/>
                <w:sz w:val="20"/>
                <w:szCs w:val="20"/>
              </w:rPr>
              <w:t xml:space="preserve"> to this proposed GEF project:</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End-User Finance for Access to Clean Energy Technologies in South and South-East Asia (FACET) - </w:t>
            </w:r>
            <w:r>
              <w:rPr>
                <w:rFonts w:ascii="Calibri" w:hAnsi="Calibri" w:cs="Calibri"/>
                <w:sz w:val="20"/>
                <w:szCs w:val="20"/>
              </w:rPr>
              <w:t>The project will aimed at mobilizing end-user financing for small scale technologies such as solar systems and high efficiency appliances. Although commercially available, uptake of these technologies is constrained by high capital costs and lack of financing options. The strategy will be to first identify technology/market opportunities, and for the best three to four to undertake consultation processes to identify support schemes for initiating bank lending. Each scheme will combine technical assistance with a temporary financial support mechanism, usually interest softening or partial guarantees, that will incentive banks to build up initial loan portfolios of typically around 10,000 loans. The schemes are open to any technology supplier that can pass a qualification process. This multi-supplier qualification strategy ensures both minimum quality standards but also competitive pricing and after-sales service.  Each scheme will combine about €1 million of BMU funding, with €5 million to €10 million of bank co-financing to finance 10,000 to 20,000 loans for a targeted low carbon technology. Over time the financial support mechanism is phased out with the goal that bank lending continues to grow even as the market intervention is withdrawn.</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Global Network on Energy for Sustainable Development (GNESD) - </w:t>
            </w:r>
            <w:r>
              <w:rPr>
                <w:rFonts w:ascii="Calibri" w:hAnsi="Calibri" w:cs="Calibri"/>
                <w:sz w:val="20"/>
                <w:szCs w:val="20"/>
              </w:rPr>
              <w:t>GNESD is a UNEP facilitated knowledge network of Member Centres of Excellence and Associates, and network partners worldwide. The main objective of GNESD is to carry out policy analysis on thematic energy issues which can facilitate in reaching the Millennium Development Goals (MDG).</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Renewable Energy Policy Network for the 21st Century (REN21) - </w:t>
            </w:r>
            <w:r>
              <w:rPr>
                <w:rFonts w:ascii="Calibri" w:hAnsi="Calibri" w:cs="Calibri"/>
                <w:sz w:val="20"/>
                <w:szCs w:val="20"/>
              </w:rPr>
              <w:t xml:space="preserve">UNEP is host of the Secretariat of REN21,  (Renewable Energy Policy Network for the 21st Century).REN21 is a global policy network that provides a forum for international leadership on renewable energy. Its goal is to bolster policy development for the rapid expansion of renewable energies in developing and industrialized economies. Open to a wide variety of dedicated stakeholders, REN21 connects governments, international institutions, non-governmental organizations, industry associations, and other partnerships and initiatives. </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UNEP Sustainable Energy Finance Initiative (SEFI) - </w:t>
            </w:r>
            <w:r>
              <w:rPr>
                <w:rFonts w:ascii="Calibri" w:hAnsi="Calibri" w:cs="Calibri"/>
                <w:sz w:val="20"/>
                <w:szCs w:val="20"/>
              </w:rPr>
              <w:t xml:space="preserve">SEFI is a platform providing financiers with the tools, support, and global network needed to conceive and manage investments in the complex and rapidly changing marketplace for clean energy technologies. SEFI's goal is to foster investment in sustainable energy projects by providing up-to-date investor information, facilitating deal origination, developing partnerships, and creating the momentum needed to shift sustainable energy from the margins of energy supply to the mainstream. </w:t>
            </w:r>
          </w:p>
          <w:p w:rsidR="000D5083" w:rsidRDefault="000D5083">
            <w:pPr>
              <w:spacing w:after="144"/>
              <w:jc w:val="both"/>
              <w:rPr>
                <w:rFonts w:ascii="Calibri" w:hAnsi="Calibri" w:cs="Calibri"/>
                <w:sz w:val="20"/>
                <w:szCs w:val="20"/>
              </w:rPr>
            </w:pPr>
            <w:r>
              <w:rPr>
                <w:rFonts w:ascii="Calibri" w:hAnsi="Calibri" w:cs="Calibri"/>
                <w:sz w:val="20"/>
                <w:szCs w:val="20"/>
              </w:rPr>
              <w:t>In addition are the following projects which has just been initiated by UNEP-DTIE, which can also provide technical support and advice to this GEF project:</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Support for Integrated Analysis and Development of Framework Policies for Greenhouse Gas Mitigation - </w:t>
            </w:r>
            <w:r>
              <w:rPr>
                <w:rFonts w:ascii="Calibri" w:hAnsi="Calibri" w:cs="Calibri"/>
                <w:sz w:val="20"/>
                <w:szCs w:val="20"/>
              </w:rPr>
              <w:t>Through this project UNEP will support: (i) macro-economic and sectoral analyses to determine opportunities and potentials for GHG reductions in specific countries, (ii) technology needs assessments and technology action plans, and (iii) the strengthening of capacities of climate change focal points and other government officials responsible for climate change mitigation policy. To this end UNEP will help developing countries analyses greenhouse gas emission reduction opportunities made possible by new technologies, and promote those technologies within the larger organizational objective of reducing emission of greenhouse gases while bringing about a shift to greener economies. This project will take a comprehensive approach to policy planning for climate change in covering all steps in the policy-making process, from priority setting to project design, to instrument selection. The proposed approach will engage national and local stakeholders at all levels, by leveraging and strengthening the capacities of government agencies, and harnessing the expertise and ingenuity of the private sector.</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Support for the deployment of renewable energy and energy-efficient technologies in developing countries – </w:t>
            </w:r>
            <w:r>
              <w:rPr>
                <w:rFonts w:ascii="Calibri" w:hAnsi="Calibri" w:cs="Calibri"/>
                <w:sz w:val="20"/>
                <w:szCs w:val="20"/>
              </w:rPr>
              <w:t>UNEP, working with other UN agencies and partners in the public and private sectors, will help governments enact technology-specific policies, regulations, and programs, and establish favorable conditions for the accelerated uptake of critical technologies. The objective is to accelerate the commercialization, deployment and diffusion of climate change mitigation technologies through better sector- and technology-specific policies and programs, while also allowing expanded access to cleaner energy in the poorest developing countries. With this in mind, the UNEP Climate Change Flagship: Cleantech Readiness: Catalyzing a Green Economy emphasizes helping developing countries enact appropriate technology-specific policies and standards.</w:t>
            </w:r>
          </w:p>
          <w:p w:rsidR="000D5083" w:rsidRDefault="000D5083">
            <w:pPr>
              <w:spacing w:after="144"/>
              <w:jc w:val="both"/>
              <w:rPr>
                <w:rFonts w:ascii="Calibri" w:hAnsi="Calibri" w:cs="Calibri"/>
                <w:sz w:val="20"/>
                <w:szCs w:val="20"/>
              </w:rPr>
            </w:pPr>
            <w:r>
              <w:rPr>
                <w:rFonts w:ascii="Calibri" w:hAnsi="Calibri" w:cs="Calibri"/>
                <w:smallCaps/>
                <w:sz w:val="20"/>
                <w:szCs w:val="20"/>
              </w:rPr>
              <w:t xml:space="preserve">Stimulating Private Sector Provision of Cleaner Energy Goods and Services- </w:t>
            </w:r>
            <w:r>
              <w:rPr>
                <w:rFonts w:ascii="Calibri" w:hAnsi="Calibri" w:cs="Calibri"/>
                <w:sz w:val="20"/>
                <w:szCs w:val="20"/>
              </w:rPr>
              <w:t>UNEP’s efforts to mobilize private sector investment in climate change mitigation have two overall thrusts. First, UNEP raises awareness, spurs motivation, and builds skills amongst industry and finance sector decision-makers, preparing them for mitigation investments. Second, UNEP introduces innovative financial mechanisms for cleaner energy goods and services that are demonstrated in developing countries, and prompts their replication. UNEP supports the pilot implementation of such instruments in order to offset the risks perceived by mainstream or “traditional” financiers. Close interaction is required with different types of financial institutions, while networks offer a means for sharing knowledge and experience more widely in the industry. Strong links with public sector agencies are also important since public/private partnerships are recognized as necessary to bring about greater funding of mitigation activities in developing countries.</w:t>
            </w:r>
          </w:p>
          <w:p w:rsidR="000D5083" w:rsidRDefault="000D5083">
            <w:pPr>
              <w:spacing w:after="120"/>
              <w:jc w:val="both"/>
            </w:pPr>
            <w:r>
              <w:rPr>
                <w:rFonts w:ascii="Calibri" w:hAnsi="Calibri" w:cs="Calibri"/>
                <w:smallCaps/>
                <w:sz w:val="20"/>
                <w:szCs w:val="20"/>
              </w:rPr>
              <w:t xml:space="preserve">Facilitating Implementation and Readiness for Mitigation (FIRM) -  Support for Nationally Appropriate Mitigation Actions in Developing Countries - </w:t>
            </w:r>
            <w:r>
              <w:rPr>
                <w:rFonts w:ascii="Calibri" w:hAnsi="Calibri" w:cs="Calibri"/>
                <w:sz w:val="20"/>
                <w:szCs w:val="20"/>
              </w:rPr>
              <w:t>The project will build on existing UNEP support to developing countries that are preparing national Technology Needs Assessments (TNAs) &amp; Technology Action Plans (TAPs) funded by the GEF. The foundation provided by the TNA project – and parallel activities underway in UNEP’s Division of Technology, Industry and Economics and the UNEP Risø Centre on Energy, Climate and Sustainable Development – will allow partner countries to engage in the project quickly and move from planning to implementation of priority actions.  FIRM country activities will support national climate and development plans and respond to national priorities, while results will directly feed into the UNFCCC process, helping build confidence in broad multilateral solutions to climate change.</w:t>
            </w:r>
          </w:p>
        </w:tc>
      </w:tr>
    </w:tbl>
    <w:p w:rsidR="000D5083" w:rsidRDefault="000D5083">
      <w:pPr>
        <w:spacing w:after="120"/>
        <w:ind w:left="810" w:hanging="450"/>
        <w:jc w:val="both"/>
        <w:rPr>
          <w:sz w:val="22"/>
          <w:szCs w:val="22"/>
        </w:rPr>
      </w:pPr>
      <w:r>
        <w:rPr>
          <w:sz w:val="22"/>
          <w:szCs w:val="22"/>
        </w:rPr>
        <w:t xml:space="preserve">C.2  How does the project fit into the GEF agency’s program (reflected in  documents such as UNDAF, CAS, etc.) and staff capacity in the country to follow up project implementation:  </w:t>
      </w:r>
    </w:p>
    <w:tbl>
      <w:tblPr>
        <w:tblW w:w="9588" w:type="dxa"/>
        <w:tblInd w:w="-106" w:type="dxa"/>
        <w:tblLook w:val="00A0"/>
      </w:tblPr>
      <w:tblGrid>
        <w:gridCol w:w="9588"/>
      </w:tblGrid>
      <w:tr w:rsidR="000D5083">
        <w:tc>
          <w:tcPr>
            <w:tcW w:w="9588" w:type="dxa"/>
          </w:tcPr>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Contribution to UNEP Program of Work (POW) 2010-2011 – Sub-Programme  on Climate Change</w:t>
            </w:r>
          </w:p>
          <w:p w:rsidR="000D5083" w:rsidRDefault="000D5083">
            <w:pPr>
              <w:spacing w:line="276" w:lineRule="auto"/>
              <w:jc w:val="both"/>
              <w:rPr>
                <w:rFonts w:ascii="Calibri" w:hAnsi="Calibri" w:cs="Calibri"/>
                <w:sz w:val="20"/>
                <w:szCs w:val="20"/>
              </w:rPr>
            </w:pPr>
            <w:r>
              <w:rPr>
                <w:rFonts w:ascii="Calibri" w:hAnsi="Calibri" w:cs="Calibri"/>
                <w:sz w:val="20"/>
                <w:szCs w:val="20"/>
              </w:rPr>
              <w:t>This proposed GEF project fits into the following POW Expected Accomplishments:</w:t>
            </w:r>
          </w:p>
          <w:p w:rsidR="000D5083" w:rsidRDefault="000D5083">
            <w:pPr>
              <w:numPr>
                <w:ilvl w:val="0"/>
                <w:numId w:val="12"/>
              </w:numPr>
              <w:jc w:val="both"/>
              <w:rPr>
                <w:rFonts w:ascii="Calibri" w:hAnsi="Calibri" w:cs="Calibri"/>
                <w:sz w:val="20"/>
                <w:szCs w:val="20"/>
              </w:rPr>
            </w:pPr>
            <w:r>
              <w:rPr>
                <w:rFonts w:ascii="Calibri" w:hAnsi="Calibri" w:cs="Calibri"/>
                <w:sz w:val="20"/>
                <w:szCs w:val="20"/>
              </w:rPr>
              <w:t>EA (b): countries make sound policy, technology, and investment choices that lead to a reduction in greenhouse gas emissions and potential co-benefits, with a focus on clean and renewable energy sources, energy efficiency and energy conservation</w:t>
            </w:r>
          </w:p>
          <w:p w:rsidR="000D5083" w:rsidRDefault="000D5083">
            <w:pPr>
              <w:numPr>
                <w:ilvl w:val="0"/>
                <w:numId w:val="12"/>
              </w:numPr>
              <w:jc w:val="both"/>
              <w:rPr>
                <w:rFonts w:ascii="Calibri" w:hAnsi="Calibri" w:cs="Calibri"/>
                <w:sz w:val="20"/>
                <w:szCs w:val="20"/>
              </w:rPr>
            </w:pPr>
            <w:r>
              <w:rPr>
                <w:rFonts w:ascii="Calibri" w:hAnsi="Calibri" w:cs="Calibri"/>
                <w:sz w:val="20"/>
                <w:szCs w:val="20"/>
              </w:rPr>
              <w:t>EA (c): improved technologies are deployed and obsolescent technologies phased out, through financing from private and public sources including the Clean Development Mechanism and the Joint Implementation Mechanism of the Kyoto Protocol</w:t>
            </w:r>
          </w:p>
          <w:p w:rsidR="000D5083" w:rsidRDefault="000D5083">
            <w:pPr>
              <w:spacing w:after="144" w:line="276" w:lineRule="auto"/>
              <w:jc w:val="both"/>
              <w:rPr>
                <w:rFonts w:ascii="Calibri" w:hAnsi="Calibri" w:cs="Calibri"/>
                <w:sz w:val="20"/>
                <w:szCs w:val="20"/>
              </w:rPr>
            </w:pPr>
            <w:r>
              <w:rPr>
                <w:rFonts w:ascii="Calibri" w:hAnsi="Calibri" w:cs="Calibri"/>
                <w:sz w:val="20"/>
                <w:szCs w:val="20"/>
              </w:rPr>
              <w:t>UNEP is a partner in the UNDAF Action Plan and will maintain staff available from the Bangkok office. UNEP is a member of the UN Country Team.</w:t>
            </w:r>
          </w:p>
          <w:p w:rsidR="000D5083" w:rsidRDefault="000D5083">
            <w:pPr>
              <w:jc w:val="both"/>
              <w:rPr>
                <w:rFonts w:ascii="Calibri" w:hAnsi="Calibri" w:cs="Calibri"/>
                <w:smallCaps/>
                <w:sz w:val="20"/>
                <w:szCs w:val="20"/>
                <w:u w:val="single"/>
              </w:rPr>
            </w:pPr>
            <w:r>
              <w:rPr>
                <w:rFonts w:ascii="Calibri" w:hAnsi="Calibri" w:cs="Calibri"/>
                <w:smallCaps/>
                <w:sz w:val="20"/>
                <w:szCs w:val="20"/>
                <w:u w:val="single"/>
              </w:rPr>
              <w:t>Maldives’ National Staff Capacity for Follow-Up Project  Implementation</w:t>
            </w:r>
          </w:p>
          <w:p w:rsidR="000D5083" w:rsidRDefault="000D5083">
            <w:pPr>
              <w:spacing w:after="144"/>
              <w:jc w:val="both"/>
              <w:rPr>
                <w:rFonts w:ascii="Calibri" w:hAnsi="Calibri" w:cs="Calibri"/>
                <w:sz w:val="20"/>
                <w:szCs w:val="20"/>
              </w:rPr>
            </w:pPr>
            <w:r>
              <w:rPr>
                <w:rFonts w:ascii="Calibri" w:hAnsi="Calibri" w:cs="Calibri"/>
                <w:sz w:val="20"/>
                <w:szCs w:val="20"/>
              </w:rPr>
              <w:t>This proposed GEF Project has duly recognized that a major constraint for implementing a low-carbon energy path in the Maldives is inadequate number of local experts that the country. Thus, Project Component 3 addresses the issue of local capacity building and strengthening of local institutions. Project Component 3 consists of several local training programs integrated with existing degree and technical training courses offered by local institutions. A key element of these training courses will be on-the-job training for the most promising students. This will allow them to get exposed to the real life situations of working in the relevant offices, agencies, and institutions, including the organizations from the private sector such as ESCOs and energy-environment NGOs involved in the planning, implementation and monitoring &amp; evaluation of the low-carbon energy path for the Maldives.</w:t>
            </w:r>
          </w:p>
          <w:p w:rsidR="000D5083" w:rsidRDefault="000D5083">
            <w:pPr>
              <w:spacing w:after="144"/>
              <w:jc w:val="both"/>
              <w:rPr>
                <w:rFonts w:ascii="Calibri" w:hAnsi="Calibri" w:cs="Calibri"/>
              </w:rPr>
            </w:pPr>
            <w:r>
              <w:rPr>
                <w:rFonts w:ascii="Calibri" w:hAnsi="Calibri" w:cs="Calibri"/>
                <w:sz w:val="20"/>
                <w:szCs w:val="20"/>
              </w:rPr>
              <w:t xml:space="preserve">UN agency staff in the region are well placed to provide specialized technical advice and follow-up to Maldives and local coordination is provided by the UN Country Team. The UNDESA has a mandate under the Mauritius Strategy of Implementation to support SIDS and although Maldives is graduating from Least Developed Country Status, support including regular visits under the Regular Program for Technical Cooperation will continue as long as there is a need expressed by the government. </w:t>
            </w:r>
          </w:p>
        </w:tc>
      </w:tr>
    </w:tbl>
    <w:p w:rsidR="000D5083" w:rsidRDefault="000D5083">
      <w:pPr>
        <w:pStyle w:val="Footer"/>
        <w:rPr>
          <w:b/>
          <w:bCs/>
          <w:caps/>
          <w:sz w:val="22"/>
          <w:szCs w:val="22"/>
          <w:u w:val="single"/>
        </w:rPr>
        <w:sectPr w:rsidR="000D5083">
          <w:pgSz w:w="12240" w:h="15840" w:code="1"/>
          <w:pgMar w:top="1152" w:right="1080" w:bottom="1152" w:left="1800" w:header="720" w:footer="0" w:gutter="0"/>
          <w:cols w:space="720"/>
          <w:formProt w:val="0"/>
          <w:docGrid w:linePitch="360"/>
        </w:sectPr>
      </w:pPr>
    </w:p>
    <w:p w:rsidR="000D5083" w:rsidRDefault="000D5083">
      <w:pPr>
        <w:pStyle w:val="Footer"/>
        <w:rPr>
          <w:b/>
          <w:bCs/>
          <w:caps/>
          <w:sz w:val="22"/>
          <w:szCs w:val="22"/>
          <w:u w:val="single"/>
        </w:rPr>
      </w:pPr>
    </w:p>
    <w:p w:rsidR="000D5083" w:rsidRDefault="000D5083">
      <w:pPr>
        <w:pStyle w:val="Footer"/>
        <w:rPr>
          <w:b/>
          <w:bCs/>
          <w:caps/>
          <w:sz w:val="22"/>
          <w:szCs w:val="22"/>
          <w:u w:val="single"/>
        </w:rPr>
      </w:pPr>
      <w:r>
        <w:rPr>
          <w:b/>
          <w:bCs/>
          <w:caps/>
          <w:sz w:val="22"/>
          <w:szCs w:val="22"/>
          <w:u w:val="single"/>
        </w:rPr>
        <w:t>part iii:  approval/endorsement by gef operational focal point(s) and GEF agency(ies)</w:t>
      </w:r>
    </w:p>
    <w:p w:rsidR="000D5083" w:rsidRDefault="000D5083">
      <w:pPr>
        <w:spacing w:before="240" w:after="240"/>
        <w:ind w:left="360" w:hanging="360"/>
        <w:rPr>
          <w:sz w:val="22"/>
          <w:szCs w:val="22"/>
        </w:rPr>
      </w:pPr>
      <w:r>
        <w:rPr>
          <w:b/>
          <w:bCs/>
          <w:smallCaps/>
          <w:sz w:val="22"/>
          <w:szCs w:val="22"/>
        </w:rPr>
        <w:t>A.   Record of Endorsement of GEF Operational Focal Point (S) on Behalf of the Government(S):</w:t>
      </w:r>
      <w:r>
        <w:rPr>
          <w:sz w:val="22"/>
          <w:szCs w:val="22"/>
        </w:rPr>
        <w:t xml:space="preserve"> (Please attach the</w:t>
      </w:r>
      <w:hyperlink r:id="rId19" w:history="1">
        <w:r>
          <w:rPr>
            <w:rStyle w:val="Hyperlink"/>
            <w:sz w:val="22"/>
            <w:szCs w:val="22"/>
          </w:rPr>
          <w:t>Operational Focal Point endorsement letter(s)</w:t>
        </w:r>
      </w:hyperlink>
      <w:r>
        <w:rPr>
          <w:sz w:val="22"/>
          <w:szCs w:val="22"/>
        </w:rPr>
        <w:t xml:space="preserve"> with this template. For SGP, use this </w:t>
      </w:r>
      <w:hyperlink r:id="rId20" w:history="1">
        <w:r>
          <w:rPr>
            <w:rStyle w:val="Hyperlink"/>
            <w:sz w:val="22"/>
            <w:szCs w:val="22"/>
          </w:rPr>
          <w:t>OFP endorsement letter</w:t>
        </w:r>
      </w:hyperlink>
      <w:r>
        <w:rPr>
          <w:sz w:val="22"/>
          <w:szCs w:val="22"/>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0D5083">
        <w:tc>
          <w:tcPr>
            <w:tcW w:w="2345" w:type="dxa"/>
          </w:tcPr>
          <w:p w:rsidR="000D5083" w:rsidRDefault="000D5083">
            <w:pPr>
              <w:jc w:val="both"/>
              <w:rPr>
                <w:b/>
                <w:bCs/>
                <w:smallCaps/>
              </w:rPr>
            </w:pPr>
            <w:r>
              <w:rPr>
                <w:b/>
                <w:bCs/>
                <w:smallCaps/>
                <w:sz w:val="22"/>
                <w:szCs w:val="22"/>
              </w:rPr>
              <w:t>Name</w:t>
            </w:r>
          </w:p>
        </w:tc>
        <w:tc>
          <w:tcPr>
            <w:tcW w:w="2362" w:type="dxa"/>
          </w:tcPr>
          <w:p w:rsidR="000D5083" w:rsidRDefault="000D5083">
            <w:pPr>
              <w:jc w:val="both"/>
              <w:rPr>
                <w:b/>
                <w:bCs/>
                <w:smallCaps/>
              </w:rPr>
            </w:pPr>
            <w:r>
              <w:rPr>
                <w:b/>
                <w:bCs/>
                <w:smallCaps/>
                <w:sz w:val="22"/>
                <w:szCs w:val="22"/>
              </w:rPr>
              <w:t>Position</w:t>
            </w:r>
          </w:p>
        </w:tc>
        <w:tc>
          <w:tcPr>
            <w:tcW w:w="1877" w:type="dxa"/>
          </w:tcPr>
          <w:p w:rsidR="000D5083" w:rsidRDefault="000D5083">
            <w:pPr>
              <w:jc w:val="both"/>
              <w:rPr>
                <w:b/>
                <w:bCs/>
                <w:smallCaps/>
              </w:rPr>
            </w:pPr>
            <w:r>
              <w:rPr>
                <w:b/>
                <w:bCs/>
                <w:smallCaps/>
                <w:sz w:val="22"/>
                <w:szCs w:val="22"/>
              </w:rPr>
              <w:t>Ministry</w:t>
            </w:r>
          </w:p>
        </w:tc>
        <w:tc>
          <w:tcPr>
            <w:tcW w:w="2524" w:type="dxa"/>
          </w:tcPr>
          <w:p w:rsidR="000D5083" w:rsidRDefault="000D5083">
            <w:pPr>
              <w:jc w:val="center"/>
              <w:rPr>
                <w:b/>
                <w:bCs/>
              </w:rPr>
            </w:pPr>
            <w:r>
              <w:rPr>
                <w:b/>
                <w:bCs/>
                <w:smallCaps/>
                <w:sz w:val="22"/>
                <w:szCs w:val="22"/>
              </w:rPr>
              <w:t>Date</w:t>
            </w:r>
            <w:r>
              <w:rPr>
                <w:i/>
                <w:iCs/>
                <w:sz w:val="22"/>
                <w:szCs w:val="22"/>
              </w:rPr>
              <w:t>(MM/dd/yyyy)</w:t>
            </w:r>
          </w:p>
        </w:tc>
      </w:tr>
      <w:bookmarkStart w:id="295" w:name="name_01"/>
      <w:tr w:rsidR="000D5083">
        <w:tc>
          <w:tcPr>
            <w:tcW w:w="2345" w:type="dxa"/>
          </w:tcPr>
          <w:p w:rsidR="000D5083" w:rsidRDefault="0082156C">
            <w:r>
              <w:rPr>
                <w:sz w:val="22"/>
                <w:szCs w:val="22"/>
              </w:rPr>
              <w:fldChar w:fldCharType="begin">
                <w:ffData>
                  <w:name w:val="name_01"/>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xml:space="preserve">Mr. Ahmed Saleem </w:t>
            </w:r>
            <w:r>
              <w:rPr>
                <w:sz w:val="22"/>
                <w:szCs w:val="22"/>
              </w:rPr>
              <w:fldChar w:fldCharType="end"/>
            </w:r>
            <w:bookmarkEnd w:id="295"/>
          </w:p>
        </w:tc>
        <w:bookmarkStart w:id="296" w:name="title_01"/>
        <w:tc>
          <w:tcPr>
            <w:tcW w:w="2362" w:type="dxa"/>
          </w:tcPr>
          <w:p w:rsidR="000D5083" w:rsidRDefault="0082156C">
            <w:r>
              <w:rPr>
                <w:sz w:val="22"/>
                <w:szCs w:val="22"/>
              </w:rPr>
              <w:fldChar w:fldCharType="begin">
                <w:ffData>
                  <w:name w:val="title_01"/>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Permanent Secretary</w:t>
            </w:r>
            <w:r>
              <w:rPr>
                <w:sz w:val="22"/>
                <w:szCs w:val="22"/>
              </w:rPr>
              <w:fldChar w:fldCharType="end"/>
            </w:r>
            <w:bookmarkEnd w:id="296"/>
          </w:p>
        </w:tc>
        <w:bookmarkStart w:id="297" w:name="ministry_01"/>
        <w:tc>
          <w:tcPr>
            <w:tcW w:w="1877" w:type="dxa"/>
          </w:tcPr>
          <w:p w:rsidR="000D5083" w:rsidRDefault="0082156C">
            <w:pPr>
              <w:jc w:val="both"/>
              <w:rPr>
                <w:b/>
                <w:bCs/>
                <w:smallCaps/>
                <w:noProof/>
              </w:rPr>
            </w:pPr>
            <w:r>
              <w:rPr>
                <w:b/>
                <w:bCs/>
                <w:smallCaps/>
                <w:sz w:val="22"/>
                <w:szCs w:val="22"/>
              </w:rPr>
              <w:fldChar w:fldCharType="begin">
                <w:ffData>
                  <w:name w:val="ministry_01"/>
                  <w:enabled/>
                  <w:calcOnExit w:val="0"/>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Ministry</w:t>
            </w:r>
          </w:p>
          <w:p w:rsidR="000D5083" w:rsidRDefault="000D5083">
            <w:pPr>
              <w:jc w:val="both"/>
              <w:rPr>
                <w:b/>
                <w:bCs/>
                <w:smallCaps/>
              </w:rPr>
            </w:pPr>
            <w:r>
              <w:rPr>
                <w:b/>
                <w:bCs/>
                <w:smallCaps/>
                <w:noProof/>
                <w:sz w:val="22"/>
                <w:szCs w:val="22"/>
              </w:rPr>
              <w:t>of Housing and Environment</w:t>
            </w:r>
            <w:r w:rsidR="0082156C">
              <w:rPr>
                <w:b/>
                <w:bCs/>
                <w:smallCaps/>
                <w:sz w:val="22"/>
                <w:szCs w:val="22"/>
              </w:rPr>
              <w:fldChar w:fldCharType="end"/>
            </w:r>
            <w:bookmarkEnd w:id="297"/>
          </w:p>
        </w:tc>
        <w:bookmarkStart w:id="298" w:name="dateOfEndorsement_01"/>
        <w:tc>
          <w:tcPr>
            <w:tcW w:w="2524" w:type="dxa"/>
          </w:tcPr>
          <w:p w:rsidR="000D5083" w:rsidRDefault="0082156C">
            <w:pPr>
              <w:jc w:val="both"/>
              <w:rPr>
                <w:b/>
                <w:bCs/>
                <w:smallCaps/>
              </w:rPr>
            </w:pPr>
            <w:r>
              <w:rPr>
                <w:b/>
                <w:bCs/>
                <w:smallCaps/>
                <w:sz w:val="22"/>
                <w:szCs w:val="22"/>
              </w:rPr>
              <w:fldChar w:fldCharType="begin">
                <w:ffData>
                  <w:name w:val="dateOfEndorsement_01"/>
                  <w:enabled/>
                  <w:calcOnExit w:val="0"/>
                  <w:textInput>
                    <w:type w:val="date"/>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08/22/2011</w:t>
            </w:r>
            <w:r>
              <w:rPr>
                <w:b/>
                <w:bCs/>
                <w:smallCaps/>
                <w:sz w:val="22"/>
                <w:szCs w:val="22"/>
              </w:rPr>
              <w:fldChar w:fldCharType="end"/>
            </w:r>
            <w:bookmarkEnd w:id="298"/>
          </w:p>
        </w:tc>
      </w:tr>
      <w:bookmarkStart w:id="299" w:name="name_02"/>
      <w:tr w:rsidR="000D5083">
        <w:tc>
          <w:tcPr>
            <w:tcW w:w="2345" w:type="dxa"/>
          </w:tcPr>
          <w:p w:rsidR="000D5083" w:rsidRDefault="0082156C">
            <w:r>
              <w:rPr>
                <w:sz w:val="22"/>
                <w:szCs w:val="22"/>
              </w:rPr>
              <w:fldChar w:fldCharType="begin">
                <w:ffData>
                  <w:name w:val="name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299"/>
          </w:p>
        </w:tc>
        <w:bookmarkStart w:id="300" w:name="title_02"/>
        <w:tc>
          <w:tcPr>
            <w:tcW w:w="2362" w:type="dxa"/>
          </w:tcPr>
          <w:p w:rsidR="000D5083" w:rsidRDefault="0082156C">
            <w:r>
              <w:rPr>
                <w:sz w:val="22"/>
                <w:szCs w:val="22"/>
              </w:rPr>
              <w:fldChar w:fldCharType="begin">
                <w:ffData>
                  <w:name w:val="title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00"/>
          </w:p>
        </w:tc>
        <w:bookmarkStart w:id="301" w:name="ministry_02"/>
        <w:tc>
          <w:tcPr>
            <w:tcW w:w="1877" w:type="dxa"/>
          </w:tcPr>
          <w:p w:rsidR="000D5083" w:rsidRDefault="0082156C">
            <w:pPr>
              <w:jc w:val="both"/>
              <w:rPr>
                <w:b/>
                <w:bCs/>
                <w:smallCaps/>
              </w:rPr>
            </w:pPr>
            <w:r>
              <w:rPr>
                <w:b/>
                <w:bCs/>
                <w:smallCaps/>
                <w:sz w:val="22"/>
                <w:szCs w:val="22"/>
              </w:rPr>
              <w:fldChar w:fldCharType="begin">
                <w:ffData>
                  <w:name w:val="ministry_02"/>
                  <w:enabled/>
                  <w:calcOnExit w:val="0"/>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Pr>
                <w:b/>
                <w:bCs/>
                <w:smallCaps/>
                <w:sz w:val="22"/>
                <w:szCs w:val="22"/>
              </w:rPr>
              <w:fldChar w:fldCharType="end"/>
            </w:r>
            <w:bookmarkEnd w:id="301"/>
          </w:p>
        </w:tc>
        <w:bookmarkStart w:id="302" w:name="dateOfEndorsement_02"/>
        <w:tc>
          <w:tcPr>
            <w:tcW w:w="2524" w:type="dxa"/>
          </w:tcPr>
          <w:p w:rsidR="000D5083" w:rsidRDefault="0082156C">
            <w:pPr>
              <w:jc w:val="both"/>
              <w:rPr>
                <w:b/>
                <w:bCs/>
                <w:smallCaps/>
              </w:rPr>
            </w:pPr>
            <w:r>
              <w:rPr>
                <w:b/>
                <w:bCs/>
                <w:smallCaps/>
                <w:sz w:val="22"/>
                <w:szCs w:val="22"/>
              </w:rPr>
              <w:fldChar w:fldCharType="begin">
                <w:ffData>
                  <w:name w:val="dateOfEndorsement_02"/>
                  <w:enabled/>
                  <w:calcOnExit w:val="0"/>
                  <w:textInput>
                    <w:type w:val="date"/>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Pr>
                <w:b/>
                <w:bCs/>
                <w:smallCaps/>
                <w:sz w:val="22"/>
                <w:szCs w:val="22"/>
              </w:rPr>
              <w:fldChar w:fldCharType="end"/>
            </w:r>
            <w:bookmarkEnd w:id="302"/>
          </w:p>
        </w:tc>
      </w:tr>
      <w:bookmarkStart w:id="303" w:name="name_03"/>
      <w:tr w:rsidR="000D5083">
        <w:tc>
          <w:tcPr>
            <w:tcW w:w="2345" w:type="dxa"/>
          </w:tcPr>
          <w:p w:rsidR="000D5083" w:rsidRDefault="0082156C">
            <w:r>
              <w:rPr>
                <w:sz w:val="22"/>
                <w:szCs w:val="22"/>
              </w:rPr>
              <w:fldChar w:fldCharType="begin">
                <w:ffData>
                  <w:name w:val="name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03"/>
          </w:p>
        </w:tc>
        <w:bookmarkStart w:id="304" w:name="title_03"/>
        <w:tc>
          <w:tcPr>
            <w:tcW w:w="2362" w:type="dxa"/>
          </w:tcPr>
          <w:p w:rsidR="000D5083" w:rsidRDefault="0082156C">
            <w:r>
              <w:rPr>
                <w:sz w:val="22"/>
                <w:szCs w:val="22"/>
              </w:rPr>
              <w:fldChar w:fldCharType="begin">
                <w:ffData>
                  <w:name w:val="title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04"/>
          </w:p>
        </w:tc>
        <w:bookmarkStart w:id="305" w:name="ministry_03"/>
        <w:tc>
          <w:tcPr>
            <w:tcW w:w="1877" w:type="dxa"/>
          </w:tcPr>
          <w:p w:rsidR="000D5083" w:rsidRDefault="0082156C">
            <w:pPr>
              <w:jc w:val="both"/>
              <w:rPr>
                <w:b/>
                <w:bCs/>
                <w:smallCaps/>
              </w:rPr>
            </w:pPr>
            <w:r>
              <w:rPr>
                <w:b/>
                <w:bCs/>
                <w:smallCaps/>
                <w:sz w:val="22"/>
                <w:szCs w:val="22"/>
              </w:rPr>
              <w:fldChar w:fldCharType="begin">
                <w:ffData>
                  <w:name w:val="ministry_03"/>
                  <w:enabled/>
                  <w:calcOnExit w:val="0"/>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Pr>
                <w:b/>
                <w:bCs/>
                <w:smallCaps/>
                <w:sz w:val="22"/>
                <w:szCs w:val="22"/>
              </w:rPr>
              <w:fldChar w:fldCharType="end"/>
            </w:r>
            <w:bookmarkEnd w:id="305"/>
          </w:p>
        </w:tc>
        <w:bookmarkStart w:id="306" w:name="dateOfEndorsement_03"/>
        <w:tc>
          <w:tcPr>
            <w:tcW w:w="2524" w:type="dxa"/>
          </w:tcPr>
          <w:p w:rsidR="000D5083" w:rsidRDefault="0082156C">
            <w:pPr>
              <w:jc w:val="both"/>
              <w:rPr>
                <w:b/>
                <w:bCs/>
                <w:smallCaps/>
              </w:rPr>
            </w:pPr>
            <w:r>
              <w:rPr>
                <w:b/>
                <w:bCs/>
                <w:smallCaps/>
                <w:sz w:val="22"/>
                <w:szCs w:val="22"/>
              </w:rPr>
              <w:fldChar w:fldCharType="begin">
                <w:ffData>
                  <w:name w:val="dateOfEndorsement_03"/>
                  <w:enabled/>
                  <w:calcOnExit w:val="0"/>
                  <w:textInput>
                    <w:type w:val="date"/>
                  </w:textInput>
                </w:ffData>
              </w:fldChar>
            </w:r>
            <w:r w:rsidR="000D5083">
              <w:rPr>
                <w:b/>
                <w:bCs/>
                <w:smallCaps/>
                <w:sz w:val="22"/>
                <w:szCs w:val="22"/>
              </w:rPr>
              <w:instrText xml:space="preserve"> FORMTEXT </w:instrText>
            </w:r>
            <w:r>
              <w:rPr>
                <w:b/>
                <w:bCs/>
                <w:smallCaps/>
                <w:sz w:val="22"/>
                <w:szCs w:val="22"/>
              </w:rPr>
            </w:r>
            <w:r>
              <w:rPr>
                <w:b/>
                <w:bCs/>
                <w:smallCaps/>
                <w:sz w:val="22"/>
                <w:szCs w:val="22"/>
              </w:rPr>
              <w:fldChar w:fldCharType="separate"/>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sidR="000D5083">
              <w:rPr>
                <w:b/>
                <w:bCs/>
                <w:smallCaps/>
                <w:noProof/>
                <w:sz w:val="22"/>
                <w:szCs w:val="22"/>
              </w:rPr>
              <w:t> </w:t>
            </w:r>
            <w:r>
              <w:rPr>
                <w:b/>
                <w:bCs/>
                <w:smallCaps/>
                <w:sz w:val="22"/>
                <w:szCs w:val="22"/>
              </w:rPr>
              <w:fldChar w:fldCharType="end"/>
            </w:r>
            <w:bookmarkEnd w:id="306"/>
          </w:p>
        </w:tc>
      </w:tr>
    </w:tbl>
    <w:p w:rsidR="000D5083" w:rsidRDefault="000D5083">
      <w:pPr>
        <w:pStyle w:val="Footer"/>
        <w:tabs>
          <w:tab w:val="clear" w:pos="4320"/>
          <w:tab w:val="clear" w:pos="8640"/>
        </w:tabs>
        <w:spacing w:before="240" w:after="80"/>
        <w:rPr>
          <w:b/>
          <w:bCs/>
          <w:smallCaps/>
          <w:sz w:val="22"/>
          <w:szCs w:val="22"/>
        </w:rPr>
        <w:sectPr w:rsidR="000D5083">
          <w:pgSz w:w="12240" w:h="15840" w:code="1"/>
          <w:pgMar w:top="1152" w:right="1080" w:bottom="1152" w:left="1800" w:header="720" w:footer="0" w:gutter="0"/>
          <w:cols w:space="720"/>
          <w:docGrid w:linePitch="360"/>
        </w:sectPr>
      </w:pPr>
    </w:p>
    <w:p w:rsidR="000D5083" w:rsidRDefault="000D5083">
      <w:pPr>
        <w:pStyle w:val="Footer"/>
        <w:tabs>
          <w:tab w:val="clear" w:pos="4320"/>
          <w:tab w:val="clear" w:pos="8640"/>
        </w:tabs>
        <w:spacing w:before="240" w:after="80"/>
        <w:rPr>
          <w:b/>
          <w:bCs/>
          <w:smallCaps/>
          <w:sz w:val="22"/>
          <w:szCs w:val="22"/>
        </w:rPr>
      </w:pPr>
      <w:r>
        <w:rPr>
          <w:b/>
          <w:bCs/>
          <w:smallCaps/>
          <w:sz w:val="22"/>
          <w:szCs w:val="22"/>
        </w:rPr>
        <w:t>B.  GEF Agency(ies) Certification</w:t>
      </w:r>
      <w:r>
        <w:rPr>
          <w:b/>
          <w:bCs/>
          <w:smallCaps/>
          <w:sz w:val="22"/>
          <w:szCs w:val="22"/>
        </w:rPr>
        <w:tab/>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13"/>
        <w:gridCol w:w="1849"/>
        <w:gridCol w:w="1991"/>
        <w:gridCol w:w="1225"/>
        <w:gridCol w:w="1277"/>
        <w:gridCol w:w="1627"/>
      </w:tblGrid>
      <w:tr w:rsidR="000D5083">
        <w:trPr>
          <w:cantSplit/>
          <w:trHeight w:val="377"/>
        </w:trPr>
        <w:tc>
          <w:tcPr>
            <w:tcW w:w="9108" w:type="dxa"/>
            <w:gridSpan w:val="6"/>
          </w:tcPr>
          <w:p w:rsidR="000D5083" w:rsidRDefault="000D5083">
            <w:pPr>
              <w:spacing w:after="120"/>
              <w:rPr>
                <w:b/>
                <w:bCs/>
              </w:rPr>
            </w:pPr>
            <w:r>
              <w:rPr>
                <w:b/>
                <w:bCs/>
                <w:sz w:val="22"/>
                <w:szCs w:val="22"/>
              </w:rPr>
              <w:t>This request has been prepared in accordance with GEF/LDCF/SCCF policies and procedures and meets the GEF/LDCF/SCCF criteria for project identification and preparation.</w:t>
            </w:r>
          </w:p>
        </w:tc>
      </w:tr>
      <w:tr w:rsidR="000D5083">
        <w:tblPrEx>
          <w:tblLook w:val="01E0"/>
        </w:tblPrEx>
        <w:tc>
          <w:tcPr>
            <w:tcW w:w="1877" w:type="dxa"/>
          </w:tcPr>
          <w:p w:rsidR="000D5083" w:rsidRDefault="000D5083">
            <w:pPr>
              <w:jc w:val="center"/>
              <w:rPr>
                <w:b/>
                <w:bCs/>
              </w:rPr>
            </w:pPr>
            <w:r>
              <w:rPr>
                <w:b/>
                <w:bCs/>
                <w:sz w:val="22"/>
                <w:szCs w:val="22"/>
              </w:rPr>
              <w:t>Agency Coordinator, Agency name</w:t>
            </w:r>
          </w:p>
        </w:tc>
        <w:tc>
          <w:tcPr>
            <w:tcW w:w="1549" w:type="dxa"/>
          </w:tcPr>
          <w:p w:rsidR="000D5083" w:rsidRDefault="000D5083">
            <w:pPr>
              <w:jc w:val="center"/>
              <w:rPr>
                <w:b/>
                <w:bCs/>
              </w:rPr>
            </w:pPr>
          </w:p>
          <w:p w:rsidR="000D5083" w:rsidRDefault="000D5083">
            <w:pPr>
              <w:jc w:val="center"/>
              <w:rPr>
                <w:b/>
                <w:bCs/>
              </w:rPr>
            </w:pPr>
            <w:r>
              <w:rPr>
                <w:b/>
                <w:bCs/>
                <w:sz w:val="22"/>
                <w:szCs w:val="22"/>
              </w:rPr>
              <w:t>Signature</w:t>
            </w:r>
          </w:p>
        </w:tc>
        <w:tc>
          <w:tcPr>
            <w:tcW w:w="1637" w:type="dxa"/>
          </w:tcPr>
          <w:p w:rsidR="000D5083" w:rsidRDefault="000D5083">
            <w:pPr>
              <w:jc w:val="center"/>
              <w:rPr>
                <w:b/>
                <w:bCs/>
              </w:rPr>
            </w:pPr>
            <w:r>
              <w:rPr>
                <w:b/>
                <w:bCs/>
                <w:smallCaps/>
                <w:sz w:val="22"/>
                <w:szCs w:val="22"/>
              </w:rPr>
              <w:t>Date</w:t>
            </w:r>
            <w:r>
              <w:rPr>
                <w:i/>
                <w:iCs/>
                <w:sz w:val="22"/>
                <w:szCs w:val="22"/>
              </w:rPr>
              <w:t>(MM/dd/yyyy)</w:t>
            </w:r>
          </w:p>
        </w:tc>
        <w:tc>
          <w:tcPr>
            <w:tcW w:w="1380" w:type="dxa"/>
          </w:tcPr>
          <w:p w:rsidR="000D5083" w:rsidRDefault="000D5083">
            <w:pPr>
              <w:jc w:val="center"/>
              <w:rPr>
                <w:b/>
                <w:bCs/>
              </w:rPr>
            </w:pPr>
            <w:r>
              <w:rPr>
                <w:b/>
                <w:bCs/>
                <w:sz w:val="22"/>
                <w:szCs w:val="22"/>
              </w:rPr>
              <w:t>Project Contact Person</w:t>
            </w:r>
          </w:p>
        </w:tc>
        <w:tc>
          <w:tcPr>
            <w:tcW w:w="1328" w:type="dxa"/>
          </w:tcPr>
          <w:p w:rsidR="000D5083" w:rsidRDefault="000D5083">
            <w:pPr>
              <w:jc w:val="center"/>
              <w:rPr>
                <w:b/>
                <w:bCs/>
              </w:rPr>
            </w:pPr>
          </w:p>
          <w:p w:rsidR="000D5083" w:rsidRDefault="000D5083">
            <w:pPr>
              <w:jc w:val="center"/>
              <w:rPr>
                <w:b/>
                <w:bCs/>
              </w:rPr>
            </w:pPr>
            <w:r>
              <w:rPr>
                <w:b/>
                <w:bCs/>
                <w:sz w:val="22"/>
                <w:szCs w:val="22"/>
              </w:rPr>
              <w:t>Telephone</w:t>
            </w:r>
          </w:p>
        </w:tc>
        <w:tc>
          <w:tcPr>
            <w:tcW w:w="1337" w:type="dxa"/>
          </w:tcPr>
          <w:p w:rsidR="000D5083" w:rsidRDefault="000D5083">
            <w:pPr>
              <w:jc w:val="center"/>
              <w:rPr>
                <w:b/>
                <w:bCs/>
              </w:rPr>
            </w:pPr>
            <w:r>
              <w:rPr>
                <w:b/>
                <w:bCs/>
                <w:sz w:val="22"/>
                <w:szCs w:val="22"/>
              </w:rPr>
              <w:t>Email Address</w:t>
            </w:r>
          </w:p>
        </w:tc>
      </w:tr>
      <w:tr w:rsidR="000D5083">
        <w:tblPrEx>
          <w:tblLook w:val="01E0"/>
        </w:tblPrEx>
        <w:tc>
          <w:tcPr>
            <w:tcW w:w="1877" w:type="dxa"/>
          </w:tcPr>
          <w:p w:rsidR="000D5083" w:rsidRDefault="000D5083">
            <w:pPr>
              <w:jc w:val="center"/>
            </w:pPr>
            <w:r>
              <w:rPr>
                <w:sz w:val="22"/>
                <w:szCs w:val="22"/>
              </w:rPr>
              <w:t>Ms Maryam Niamir-Fuller</w:t>
            </w:r>
          </w:p>
          <w:p w:rsidR="000D5083" w:rsidRDefault="000D5083">
            <w:pPr>
              <w:jc w:val="center"/>
            </w:pPr>
            <w:r>
              <w:rPr>
                <w:sz w:val="22"/>
                <w:szCs w:val="22"/>
              </w:rPr>
              <w:t>Director, GEF Coordination Office, UNEP, Nairobi. Tel: + 254 20 762 4165</w:t>
            </w:r>
          </w:p>
        </w:tc>
        <w:tc>
          <w:tcPr>
            <w:tcW w:w="1549" w:type="dxa"/>
          </w:tcPr>
          <w:p w:rsidR="000D5083" w:rsidRDefault="00BB0DC9">
            <w:pPr>
              <w:jc w:val="center"/>
            </w:pPr>
            <w:r>
              <w:rPr>
                <w:noProof/>
              </w:rPr>
              <w:drawing>
                <wp:inline distT="0" distB="0" distL="0" distR="0">
                  <wp:extent cx="1036955" cy="2952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6955" cy="295275"/>
                          </a:xfrm>
                          <a:prstGeom prst="rect">
                            <a:avLst/>
                          </a:prstGeom>
                          <a:noFill/>
                          <a:ln>
                            <a:noFill/>
                          </a:ln>
                        </pic:spPr>
                      </pic:pic>
                    </a:graphicData>
                  </a:graphic>
                </wp:inline>
              </w:drawing>
            </w:r>
            <w:r w:rsidR="000D5083">
              <w:rPr>
                <w:sz w:val="22"/>
                <w:szCs w:val="22"/>
              </w:rPr>
              <w:br/>
            </w:r>
          </w:p>
        </w:tc>
        <w:tc>
          <w:tcPr>
            <w:tcW w:w="1637" w:type="dxa"/>
          </w:tcPr>
          <w:p w:rsidR="000D5083" w:rsidRDefault="000D5083">
            <w:pPr>
              <w:jc w:val="center"/>
            </w:pPr>
            <w:r>
              <w:rPr>
                <w:sz w:val="22"/>
                <w:szCs w:val="22"/>
              </w:rPr>
              <w:t>November 28</w:t>
            </w:r>
            <w:r>
              <w:rPr>
                <w:sz w:val="22"/>
                <w:szCs w:val="22"/>
                <w:vertAlign w:val="superscript"/>
              </w:rPr>
              <w:t>th</w:t>
            </w:r>
            <w:r>
              <w:rPr>
                <w:sz w:val="22"/>
                <w:szCs w:val="22"/>
              </w:rPr>
              <w:t xml:space="preserve">  2011</w:t>
            </w:r>
          </w:p>
        </w:tc>
        <w:tc>
          <w:tcPr>
            <w:tcW w:w="1380" w:type="dxa"/>
          </w:tcPr>
          <w:p w:rsidR="000D5083" w:rsidRDefault="000D5083">
            <w:pPr>
              <w:jc w:val="center"/>
            </w:pPr>
            <w:r>
              <w:rPr>
                <w:sz w:val="22"/>
                <w:szCs w:val="22"/>
              </w:rPr>
              <w:t>Conrado S. Heruela</w:t>
            </w:r>
          </w:p>
        </w:tc>
        <w:bookmarkStart w:id="307" w:name="ContactPhone_01"/>
        <w:tc>
          <w:tcPr>
            <w:tcW w:w="1328" w:type="dxa"/>
          </w:tcPr>
          <w:p w:rsidR="000D5083" w:rsidRDefault="0082156C">
            <w:pPr>
              <w:jc w:val="center"/>
            </w:pPr>
            <w:r>
              <w:rPr>
                <w:sz w:val="22"/>
                <w:szCs w:val="22"/>
              </w:rPr>
              <w:fldChar w:fldCharType="begin">
                <w:ffData>
                  <w:name w:val="ContactPhone_01"/>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rFonts w:ascii="MS Mincho" w:eastAsia="MS Mincho" w:hAnsi="MS Mincho" w:cs="MS Mincho" w:hint="eastAsia"/>
                <w:noProof/>
                <w:sz w:val="22"/>
                <w:szCs w:val="22"/>
              </w:rPr>
              <w:t> </w:t>
            </w:r>
            <w:r w:rsidR="000D5083">
              <w:rPr>
                <w:noProof/>
                <w:sz w:val="22"/>
                <w:szCs w:val="22"/>
              </w:rPr>
              <w:t>+254-20-762-4795</w:t>
            </w:r>
            <w:r w:rsidR="000D5083">
              <w:rPr>
                <w:rFonts w:ascii="MS Mincho" w:eastAsia="MS Mincho" w:hAnsi="MS Mincho" w:cs="MS Mincho" w:hint="eastAsia"/>
                <w:noProof/>
                <w:sz w:val="22"/>
                <w:szCs w:val="22"/>
              </w:rPr>
              <w:t> </w:t>
            </w:r>
            <w:r w:rsidR="000D5083">
              <w:rPr>
                <w:rFonts w:ascii="MS Mincho" w:eastAsia="MS Mincho" w:hAnsi="MS Mincho" w:cs="MS Mincho" w:hint="eastAsia"/>
                <w:noProof/>
                <w:sz w:val="22"/>
                <w:szCs w:val="22"/>
              </w:rPr>
              <w:t> </w:t>
            </w:r>
            <w:r w:rsidR="000D5083">
              <w:rPr>
                <w:rFonts w:ascii="MS Mincho" w:eastAsia="MS Mincho" w:hAnsi="MS Mincho" w:cs="MS Mincho" w:hint="eastAsia"/>
                <w:noProof/>
                <w:sz w:val="22"/>
                <w:szCs w:val="22"/>
              </w:rPr>
              <w:t> </w:t>
            </w:r>
            <w:r w:rsidR="000D5083">
              <w:rPr>
                <w:rFonts w:ascii="MS Mincho" w:eastAsia="MS Mincho" w:hAnsi="MS Mincho" w:cs="MS Mincho" w:hint="eastAsia"/>
                <w:noProof/>
                <w:sz w:val="22"/>
                <w:szCs w:val="22"/>
              </w:rPr>
              <w:t> </w:t>
            </w:r>
            <w:r>
              <w:rPr>
                <w:sz w:val="22"/>
                <w:szCs w:val="22"/>
              </w:rPr>
              <w:fldChar w:fldCharType="end"/>
            </w:r>
            <w:bookmarkEnd w:id="307"/>
          </w:p>
        </w:tc>
        <w:tc>
          <w:tcPr>
            <w:tcW w:w="1337" w:type="dxa"/>
          </w:tcPr>
          <w:p w:rsidR="000D5083" w:rsidRDefault="000D5083">
            <w:pPr>
              <w:jc w:val="center"/>
            </w:pPr>
            <w:r>
              <w:rPr>
                <w:sz w:val="22"/>
                <w:szCs w:val="22"/>
              </w:rPr>
              <w:t>conrado.heruela</w:t>
            </w:r>
          </w:p>
          <w:p w:rsidR="000D5083" w:rsidRDefault="000D5083">
            <w:pPr>
              <w:jc w:val="center"/>
            </w:pPr>
            <w:r>
              <w:rPr>
                <w:sz w:val="22"/>
                <w:szCs w:val="22"/>
              </w:rPr>
              <w:t>@unep.org</w:t>
            </w:r>
          </w:p>
        </w:tc>
      </w:tr>
      <w:bookmarkStart w:id="308" w:name="coordinatorName_02"/>
      <w:tr w:rsidR="000D5083">
        <w:tblPrEx>
          <w:tblLook w:val="01E0"/>
        </w:tblPrEx>
        <w:tc>
          <w:tcPr>
            <w:tcW w:w="1877" w:type="dxa"/>
          </w:tcPr>
          <w:p w:rsidR="000D5083" w:rsidRDefault="0082156C">
            <w:pPr>
              <w:jc w:val="center"/>
            </w:pPr>
            <w:r>
              <w:rPr>
                <w:sz w:val="22"/>
                <w:szCs w:val="22"/>
              </w:rPr>
              <w:fldChar w:fldCharType="begin">
                <w:ffData>
                  <w:name w:val="coordinatorName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08"/>
          </w:p>
        </w:tc>
        <w:tc>
          <w:tcPr>
            <w:tcW w:w="1549" w:type="dxa"/>
          </w:tcPr>
          <w:p w:rsidR="000D5083" w:rsidRDefault="000D5083">
            <w:pPr>
              <w:jc w:val="center"/>
            </w:pPr>
            <w:r>
              <w:rPr>
                <w:sz w:val="22"/>
                <w:szCs w:val="22"/>
              </w:rPr>
              <w:br/>
            </w:r>
          </w:p>
        </w:tc>
        <w:bookmarkStart w:id="309" w:name="signingDate_02"/>
        <w:tc>
          <w:tcPr>
            <w:tcW w:w="1637" w:type="dxa"/>
          </w:tcPr>
          <w:p w:rsidR="000D5083" w:rsidRDefault="0082156C">
            <w:pPr>
              <w:jc w:val="center"/>
            </w:pPr>
            <w:r>
              <w:rPr>
                <w:sz w:val="22"/>
                <w:szCs w:val="22"/>
              </w:rPr>
              <w:fldChar w:fldCharType="begin">
                <w:ffData>
                  <w:name w:val="signingDate_02"/>
                  <w:enabled/>
                  <w:calcOnExit w:val="0"/>
                  <w:textInput>
                    <w:type w:val="date"/>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09"/>
          </w:p>
        </w:tc>
        <w:bookmarkStart w:id="310" w:name="ContactName_02"/>
        <w:tc>
          <w:tcPr>
            <w:tcW w:w="1380" w:type="dxa"/>
          </w:tcPr>
          <w:p w:rsidR="000D5083" w:rsidRDefault="0082156C">
            <w:pPr>
              <w:jc w:val="center"/>
            </w:pPr>
            <w:r>
              <w:rPr>
                <w:sz w:val="22"/>
                <w:szCs w:val="22"/>
              </w:rPr>
              <w:fldChar w:fldCharType="begin">
                <w:ffData>
                  <w:name w:val="ContactName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0"/>
          </w:p>
        </w:tc>
        <w:bookmarkStart w:id="311" w:name="ContactPhone_02"/>
        <w:tc>
          <w:tcPr>
            <w:tcW w:w="1328" w:type="dxa"/>
          </w:tcPr>
          <w:p w:rsidR="000D5083" w:rsidRDefault="0082156C">
            <w:pPr>
              <w:jc w:val="center"/>
            </w:pPr>
            <w:r>
              <w:rPr>
                <w:sz w:val="22"/>
                <w:szCs w:val="22"/>
              </w:rPr>
              <w:fldChar w:fldCharType="begin">
                <w:ffData>
                  <w:name w:val="ContactPhone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1"/>
          </w:p>
        </w:tc>
        <w:bookmarkStart w:id="312" w:name="ContactEmail_02"/>
        <w:tc>
          <w:tcPr>
            <w:tcW w:w="1337" w:type="dxa"/>
          </w:tcPr>
          <w:p w:rsidR="000D5083" w:rsidRDefault="0082156C">
            <w:pPr>
              <w:jc w:val="center"/>
            </w:pPr>
            <w:r>
              <w:rPr>
                <w:sz w:val="22"/>
                <w:szCs w:val="22"/>
              </w:rPr>
              <w:fldChar w:fldCharType="begin">
                <w:ffData>
                  <w:name w:val="ContactEmail_02"/>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2"/>
          </w:p>
        </w:tc>
      </w:tr>
      <w:bookmarkStart w:id="313" w:name="coordinatorName_03"/>
      <w:tr w:rsidR="000D5083">
        <w:tblPrEx>
          <w:tblLook w:val="01E0"/>
        </w:tblPrEx>
        <w:tc>
          <w:tcPr>
            <w:tcW w:w="1877" w:type="dxa"/>
          </w:tcPr>
          <w:p w:rsidR="000D5083" w:rsidRDefault="0082156C">
            <w:pPr>
              <w:jc w:val="center"/>
            </w:pPr>
            <w:r>
              <w:rPr>
                <w:sz w:val="22"/>
                <w:szCs w:val="22"/>
              </w:rPr>
              <w:fldChar w:fldCharType="begin">
                <w:ffData>
                  <w:name w:val="coordinatorName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3"/>
          </w:p>
        </w:tc>
        <w:tc>
          <w:tcPr>
            <w:tcW w:w="1549" w:type="dxa"/>
          </w:tcPr>
          <w:p w:rsidR="000D5083" w:rsidRDefault="000D5083">
            <w:pPr>
              <w:jc w:val="center"/>
            </w:pPr>
            <w:r>
              <w:rPr>
                <w:sz w:val="22"/>
                <w:szCs w:val="22"/>
              </w:rPr>
              <w:br/>
            </w:r>
          </w:p>
        </w:tc>
        <w:bookmarkStart w:id="314" w:name="signingDate_03"/>
        <w:tc>
          <w:tcPr>
            <w:tcW w:w="1637" w:type="dxa"/>
          </w:tcPr>
          <w:p w:rsidR="000D5083" w:rsidRDefault="0082156C">
            <w:pPr>
              <w:jc w:val="center"/>
            </w:pPr>
            <w:r>
              <w:rPr>
                <w:sz w:val="22"/>
                <w:szCs w:val="22"/>
              </w:rPr>
              <w:fldChar w:fldCharType="begin">
                <w:ffData>
                  <w:name w:val="signingDate_03"/>
                  <w:enabled/>
                  <w:calcOnExit w:val="0"/>
                  <w:textInput>
                    <w:type w:val="date"/>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4"/>
          </w:p>
        </w:tc>
        <w:bookmarkStart w:id="315" w:name="ContactName_03"/>
        <w:tc>
          <w:tcPr>
            <w:tcW w:w="1380" w:type="dxa"/>
          </w:tcPr>
          <w:p w:rsidR="000D5083" w:rsidRDefault="0082156C">
            <w:pPr>
              <w:jc w:val="center"/>
            </w:pPr>
            <w:r>
              <w:rPr>
                <w:sz w:val="22"/>
                <w:szCs w:val="22"/>
              </w:rPr>
              <w:fldChar w:fldCharType="begin">
                <w:ffData>
                  <w:name w:val="ContactName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5"/>
          </w:p>
        </w:tc>
        <w:bookmarkStart w:id="316" w:name="ContactPhone_03"/>
        <w:tc>
          <w:tcPr>
            <w:tcW w:w="1328" w:type="dxa"/>
          </w:tcPr>
          <w:p w:rsidR="000D5083" w:rsidRDefault="0082156C">
            <w:pPr>
              <w:jc w:val="center"/>
            </w:pPr>
            <w:r>
              <w:rPr>
                <w:sz w:val="22"/>
                <w:szCs w:val="22"/>
              </w:rPr>
              <w:fldChar w:fldCharType="begin">
                <w:ffData>
                  <w:name w:val="ContactPhone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6"/>
          </w:p>
        </w:tc>
        <w:bookmarkStart w:id="317" w:name="ContactEmail_03"/>
        <w:tc>
          <w:tcPr>
            <w:tcW w:w="1337" w:type="dxa"/>
          </w:tcPr>
          <w:p w:rsidR="000D5083" w:rsidRDefault="0082156C">
            <w:pPr>
              <w:jc w:val="center"/>
            </w:pPr>
            <w:r>
              <w:rPr>
                <w:sz w:val="22"/>
                <w:szCs w:val="22"/>
              </w:rPr>
              <w:fldChar w:fldCharType="begin">
                <w:ffData>
                  <w:name w:val="ContactEmail_03"/>
                  <w:enabled/>
                  <w:calcOnExit w:val="0"/>
                  <w:textInput/>
                </w:ffData>
              </w:fldChar>
            </w:r>
            <w:r w:rsidR="000D5083">
              <w:rPr>
                <w:sz w:val="22"/>
                <w:szCs w:val="22"/>
              </w:rPr>
              <w:instrText xml:space="preserve"> FORMTEXT </w:instrText>
            </w:r>
            <w:r>
              <w:rPr>
                <w:sz w:val="22"/>
                <w:szCs w:val="22"/>
              </w:rPr>
            </w:r>
            <w:r>
              <w:rPr>
                <w:sz w:val="22"/>
                <w:szCs w:val="22"/>
              </w:rPr>
              <w:fldChar w:fldCharType="separate"/>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sidR="000D5083">
              <w:rPr>
                <w:noProof/>
                <w:sz w:val="22"/>
                <w:szCs w:val="22"/>
              </w:rPr>
              <w:t> </w:t>
            </w:r>
            <w:r>
              <w:rPr>
                <w:sz w:val="22"/>
                <w:szCs w:val="22"/>
              </w:rPr>
              <w:fldChar w:fldCharType="end"/>
            </w:r>
            <w:bookmarkEnd w:id="317"/>
          </w:p>
        </w:tc>
      </w:tr>
    </w:tbl>
    <w:p w:rsidR="000D5083" w:rsidRDefault="000D5083">
      <w:pPr>
        <w:jc w:val="center"/>
        <w:rPr>
          <w:sz w:val="22"/>
          <w:szCs w:val="22"/>
        </w:rPr>
      </w:pPr>
    </w:p>
    <w:p w:rsidR="000D5083" w:rsidRDefault="000D5083">
      <w:pPr>
        <w:rPr>
          <w:vanish/>
          <w:sz w:val="22"/>
          <w:szCs w:val="22"/>
        </w:rPr>
      </w:pPr>
    </w:p>
    <w:p w:rsidR="000D5083" w:rsidRDefault="000D5083">
      <w:pPr>
        <w:pStyle w:val="Footer"/>
        <w:tabs>
          <w:tab w:val="clear" w:pos="4320"/>
          <w:tab w:val="clear" w:pos="8640"/>
        </w:tabs>
        <w:ind w:left="-90"/>
        <w:rPr>
          <w:vanish/>
          <w:sz w:val="20"/>
          <w:szCs w:val="20"/>
        </w:rPr>
      </w:pPr>
    </w:p>
    <w:p w:rsidR="000D5083" w:rsidRDefault="000D5083">
      <w:pPr>
        <w:rPr>
          <w:vanish/>
          <w:sz w:val="20"/>
          <w:szCs w:val="20"/>
        </w:rPr>
      </w:pPr>
    </w:p>
    <w:bookmarkStart w:id="318" w:name="Template_type"/>
    <w:p w:rsidR="000D5083" w:rsidRDefault="0082156C">
      <w:pPr>
        <w:ind w:right="1200"/>
        <w:rPr>
          <w:vanish/>
          <w:sz w:val="20"/>
          <w:szCs w:val="20"/>
        </w:rPr>
      </w:pPr>
      <w:r>
        <w:rPr>
          <w:vanish/>
          <w:sz w:val="20"/>
          <w:szCs w:val="20"/>
        </w:rPr>
        <w:fldChar w:fldCharType="begin">
          <w:ffData>
            <w:name w:val="Template_type"/>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rPr>
        <w:t>PIF_WITHOUT_MACROS</w:t>
      </w:r>
      <w:r>
        <w:rPr>
          <w:vanish/>
          <w:sz w:val="20"/>
          <w:szCs w:val="20"/>
        </w:rPr>
        <w:fldChar w:fldCharType="end"/>
      </w:r>
      <w:bookmarkEnd w:id="318"/>
    </w:p>
    <w:p w:rsidR="000D5083" w:rsidRDefault="000D5083">
      <w:pPr>
        <w:ind w:right="1200"/>
        <w:rPr>
          <w:vanish/>
          <w:sz w:val="20"/>
          <w:szCs w:val="20"/>
        </w:rPr>
      </w:pPr>
    </w:p>
    <w:bookmarkStart w:id="319" w:name="Template_version"/>
    <w:p w:rsidR="000D5083" w:rsidRDefault="0082156C">
      <w:pPr>
        <w:ind w:right="1200"/>
        <w:rPr>
          <w:vanish/>
          <w:sz w:val="20"/>
          <w:szCs w:val="20"/>
        </w:rPr>
      </w:pPr>
      <w:r>
        <w:rPr>
          <w:vanish/>
          <w:sz w:val="20"/>
          <w:szCs w:val="20"/>
        </w:rPr>
        <w:fldChar w:fldCharType="begin">
          <w:ffData>
            <w:name w:val="Template_version"/>
            <w:enabled/>
            <w:calcOnExit w:val="0"/>
            <w:textInput/>
          </w:ffData>
        </w:fldChar>
      </w:r>
      <w:r w:rsidR="000D5083">
        <w:rPr>
          <w:vanish/>
          <w:sz w:val="20"/>
          <w:szCs w:val="20"/>
        </w:rPr>
        <w:instrText xml:space="preserve"> FORMTEXT </w:instrText>
      </w:r>
      <w:r>
        <w:rPr>
          <w:vanish/>
          <w:sz w:val="20"/>
          <w:szCs w:val="20"/>
        </w:rPr>
      </w:r>
      <w:r>
        <w:rPr>
          <w:vanish/>
          <w:sz w:val="20"/>
          <w:szCs w:val="20"/>
        </w:rPr>
        <w:fldChar w:fldCharType="separate"/>
      </w:r>
      <w:r w:rsidR="000D5083">
        <w:rPr>
          <w:noProof/>
          <w:vanish/>
        </w:rPr>
        <w:t>1.0</w:t>
      </w:r>
      <w:r>
        <w:rPr>
          <w:vanish/>
          <w:sz w:val="20"/>
          <w:szCs w:val="20"/>
        </w:rPr>
        <w:fldChar w:fldCharType="end"/>
      </w:r>
      <w:bookmarkEnd w:id="319"/>
    </w:p>
    <w:sectPr w:rsidR="000D5083"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0080" w:rsidRDefault="000E0080">
      <w:r>
        <w:separator/>
      </w:r>
    </w:p>
  </w:endnote>
  <w:endnote w:type="continuationSeparator" w:id="0">
    <w:p w:rsidR="000E0080" w:rsidRDefault="000E00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SymbolMT">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67E" w:rsidRDefault="0082156C">
    <w:pPr>
      <w:pStyle w:val="Footer"/>
      <w:framePr w:wrap="auto" w:vAnchor="text" w:hAnchor="margin" w:xAlign="right" w:y="1"/>
      <w:rPr>
        <w:rStyle w:val="PageNumber"/>
        <w:sz w:val="20"/>
        <w:szCs w:val="20"/>
      </w:rPr>
    </w:pPr>
    <w:r>
      <w:rPr>
        <w:rStyle w:val="PageNumber"/>
        <w:sz w:val="20"/>
        <w:szCs w:val="20"/>
      </w:rPr>
      <w:fldChar w:fldCharType="begin"/>
    </w:r>
    <w:r w:rsidR="0061067E">
      <w:rPr>
        <w:rStyle w:val="PageNumber"/>
        <w:sz w:val="20"/>
        <w:szCs w:val="20"/>
      </w:rPr>
      <w:instrText xml:space="preserve">PAGE  </w:instrText>
    </w:r>
    <w:r>
      <w:rPr>
        <w:rStyle w:val="PageNumber"/>
        <w:sz w:val="20"/>
        <w:szCs w:val="20"/>
      </w:rPr>
      <w:fldChar w:fldCharType="separate"/>
    </w:r>
    <w:r w:rsidR="000E0080">
      <w:rPr>
        <w:rStyle w:val="PageNumber"/>
        <w:noProof/>
        <w:sz w:val="20"/>
        <w:szCs w:val="20"/>
      </w:rPr>
      <w:t>1</w:t>
    </w:r>
    <w:r>
      <w:rPr>
        <w:rStyle w:val="PageNumber"/>
        <w:sz w:val="20"/>
        <w:szCs w:val="20"/>
      </w:rPr>
      <w:fldChar w:fldCharType="end"/>
    </w:r>
  </w:p>
  <w:p w:rsidR="0061067E" w:rsidRDefault="0061067E">
    <w:pPr>
      <w:pStyle w:val="Footer"/>
      <w:ind w:left="-540" w:right="360"/>
      <w:rPr>
        <w:color w:val="999999"/>
        <w:sz w:val="16"/>
        <w:szCs w:val="16"/>
      </w:rPr>
    </w:pPr>
  </w:p>
  <w:p w:rsidR="0061067E" w:rsidRDefault="0061067E">
    <w:pPr>
      <w:pStyle w:val="Footer"/>
      <w:ind w:left="-540"/>
      <w:rPr>
        <w:color w:val="999999"/>
        <w:sz w:val="16"/>
        <w:szCs w:val="16"/>
      </w:rPr>
    </w:pPr>
    <w:r>
      <w:rPr>
        <w:color w:val="999999"/>
        <w:sz w:val="16"/>
        <w:szCs w:val="16"/>
      </w:rPr>
      <w:t>GEF-5 PIF Template-</w:t>
    </w:r>
    <w:r>
      <w:rPr>
        <w:b/>
        <w:bCs/>
        <w:color w:val="999999"/>
        <w:sz w:val="16"/>
        <w:szCs w:val="16"/>
      </w:rPr>
      <w:t>January 2011</w:t>
    </w:r>
  </w:p>
  <w:p w:rsidR="0061067E" w:rsidRDefault="0061067E">
    <w:pPr>
      <w:pStyle w:val="Footer"/>
      <w:ind w:left="-540"/>
    </w:pPr>
  </w:p>
  <w:p w:rsidR="0061067E" w:rsidRDefault="006106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0080" w:rsidRDefault="000E0080">
      <w:r>
        <w:separator/>
      </w:r>
    </w:p>
  </w:footnote>
  <w:footnote w:type="continuationSeparator" w:id="0">
    <w:p w:rsidR="000E0080" w:rsidRDefault="000E0080">
      <w:r>
        <w:continuationSeparator/>
      </w:r>
    </w:p>
  </w:footnote>
  <w:footnote w:id="1">
    <w:p w:rsidR="0061067E" w:rsidRDefault="0061067E">
      <w:pPr>
        <w:pStyle w:val="FootnoteText"/>
      </w:pPr>
      <w:r>
        <w:rPr>
          <w:rStyle w:val="FootnoteReference"/>
        </w:rPr>
        <w:footnoteRef/>
      </w:r>
      <w:r>
        <w:t xml:space="preserve">   It is very important to consult the PIF preparation guidelines when completing this template.</w:t>
      </w:r>
    </w:p>
  </w:footnote>
  <w:footnote w:id="2">
    <w:p w:rsidR="0061067E" w:rsidRDefault="0061067E">
      <w:pPr>
        <w:pStyle w:val="FootnoteText"/>
      </w:pPr>
      <w:r>
        <w:rPr>
          <w:rStyle w:val="FootnoteReference"/>
          <w:sz w:val="18"/>
          <w:szCs w:val="18"/>
        </w:rPr>
        <w:footnoteRef/>
      </w:r>
      <w:r>
        <w:rPr>
          <w:color w:val="000000"/>
          <w:sz w:val="16"/>
          <w:szCs w:val="16"/>
        </w:rPr>
        <w:t>Project ID number will be assigned by GEFSEC</w:t>
      </w:r>
      <w:r>
        <w:rPr>
          <w:color w:val="000000"/>
          <w:sz w:val="18"/>
          <w:szCs w:val="18"/>
        </w:rPr>
        <w:t>.</w:t>
      </w:r>
    </w:p>
  </w:footnote>
  <w:footnote w:id="3">
    <w:p w:rsidR="0061067E" w:rsidRDefault="0061067E">
      <w:pPr>
        <w:pStyle w:val="FootnoteText"/>
      </w:pPr>
      <w:r>
        <w:rPr>
          <w:rStyle w:val="FootnoteReference"/>
        </w:rPr>
        <w:footnoteRef/>
      </w:r>
      <w:r>
        <w:rPr>
          <w:sz w:val="18"/>
          <w:szCs w:val="18"/>
        </w:rPr>
        <w:t xml:space="preserve">Refer to the reference attached on the </w:t>
      </w:r>
      <w:hyperlink r:id="rId1" w:history="1">
        <w:r>
          <w:rPr>
            <w:rStyle w:val="Hyperlink"/>
            <w:sz w:val="18"/>
            <w:szCs w:val="18"/>
          </w:rPr>
          <w:t>Focal Area Results Framework</w:t>
        </w:r>
      </w:hyperlink>
      <w:r>
        <w:rPr>
          <w:sz w:val="18"/>
          <w:szCs w:val="18"/>
        </w:rPr>
        <w:t xml:space="preserve"> when filling up the table in item A.</w:t>
      </w:r>
    </w:p>
  </w:footnote>
  <w:footnote w:id="4">
    <w:p w:rsidR="0061067E" w:rsidRDefault="0061067E">
      <w:pPr>
        <w:pStyle w:val="FootnoteText"/>
      </w:pPr>
      <w:r>
        <w:rPr>
          <w:rStyle w:val="FootnoteReference"/>
        </w:rPr>
        <w:footnoteRef/>
      </w:r>
      <w:r>
        <w:rPr>
          <w:sz w:val="18"/>
          <w:szCs w:val="18"/>
        </w:rPr>
        <w:t>GEF will finance management cost that is solely linked to GEF financing of the project.</w:t>
      </w:r>
    </w:p>
  </w:footnote>
  <w:footnote w:id="5">
    <w:p w:rsidR="0061067E" w:rsidRDefault="0061067E">
      <w:pPr>
        <w:pStyle w:val="FootnoteText"/>
      </w:pPr>
      <w:r>
        <w:rPr>
          <w:rStyle w:val="FootnoteReference"/>
        </w:rPr>
        <w:footnoteRef/>
      </w:r>
      <w:r>
        <w:rPr>
          <w:sz w:val="18"/>
          <w:szCs w:val="18"/>
        </w:rPr>
        <w:t>Same as footnote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C1492"/>
    <w:multiLevelType w:val="hybridMultilevel"/>
    <w:tmpl w:val="B05EB234"/>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rPr>
        <w:rFonts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
    <w:nsid w:val="04BF33CB"/>
    <w:multiLevelType w:val="hybridMultilevel"/>
    <w:tmpl w:val="FA0AE8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067F705A"/>
    <w:multiLevelType w:val="hybridMultilevel"/>
    <w:tmpl w:val="0D9EDE90"/>
    <w:lvl w:ilvl="0" w:tplc="3EBE4944">
      <w:start w:val="2"/>
      <w:numFmt w:val="upperLetter"/>
      <w:lvlText w:val="%1."/>
      <w:lvlJc w:val="left"/>
      <w:pPr>
        <w:ind w:left="360" w:hanging="360"/>
      </w:pPr>
      <w:rPr>
        <w:rFonts w:cs="Times New Roman" w:hint="default"/>
        <w:sz w:val="24"/>
        <w:szCs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067F7271"/>
    <w:multiLevelType w:val="hybridMultilevel"/>
    <w:tmpl w:val="0D44527C"/>
    <w:lvl w:ilvl="0" w:tplc="D6FC3268">
      <w:start w:val="1"/>
      <w:numFmt w:val="decimal"/>
      <w:lvlText w:val="%1."/>
      <w:lvlJc w:val="left"/>
      <w:pPr>
        <w:ind w:left="360" w:hanging="360"/>
      </w:pPr>
      <w:rPr>
        <w:rFonts w:cs="Times New Roman" w:hint="default"/>
        <w:b w:val="0"/>
        <w:bCs w:val="0"/>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080A10BB"/>
    <w:multiLevelType w:val="hybridMultilevel"/>
    <w:tmpl w:val="FE0EF56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0C636381"/>
    <w:multiLevelType w:val="hybridMultilevel"/>
    <w:tmpl w:val="48008904"/>
    <w:lvl w:ilvl="0" w:tplc="0409000F">
      <w:start w:val="1"/>
      <w:numFmt w:val="decimal"/>
      <w:lvlText w:val="%1."/>
      <w:lvlJc w:val="left"/>
      <w:pPr>
        <w:ind w:left="360" w:hanging="360"/>
      </w:pPr>
      <w:rPr>
        <w:rFonts w:cs="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bCs w:val="0"/>
        <w:i w:val="0"/>
        <w:iCs w:val="0"/>
        <w:color w:val="auto"/>
        <w:sz w:val="24"/>
        <w:szCs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10036AF3"/>
    <w:multiLevelType w:val="hybridMultilevel"/>
    <w:tmpl w:val="6CF8F8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9">
    <w:nsid w:val="1975535C"/>
    <w:multiLevelType w:val="hybridMultilevel"/>
    <w:tmpl w:val="2CEA5BA6"/>
    <w:lvl w:ilvl="0" w:tplc="7878FB04">
      <w:start w:val="1"/>
      <w:numFmt w:val="bullet"/>
      <w:pStyle w:val="ListParagraph"/>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0">
    <w:nsid w:val="1CBE5448"/>
    <w:multiLevelType w:val="hybridMultilevel"/>
    <w:tmpl w:val="3FE45CF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1">
    <w:nsid w:val="20116C92"/>
    <w:multiLevelType w:val="hybridMultilevel"/>
    <w:tmpl w:val="E60E38E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2">
    <w:nsid w:val="28493C20"/>
    <w:multiLevelType w:val="hybridMultilevel"/>
    <w:tmpl w:val="A4B09F62"/>
    <w:lvl w:ilvl="0" w:tplc="81C86C72">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2BD956B7"/>
    <w:multiLevelType w:val="hybridMultilevel"/>
    <w:tmpl w:val="C2DCEFC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4">
    <w:nsid w:val="351368D2"/>
    <w:multiLevelType w:val="hybridMultilevel"/>
    <w:tmpl w:val="01F0961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5">
    <w:nsid w:val="36813EE9"/>
    <w:multiLevelType w:val="hybridMultilevel"/>
    <w:tmpl w:val="48265B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D0E7944"/>
    <w:multiLevelType w:val="hybridMultilevel"/>
    <w:tmpl w:val="05F270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3FC05F67"/>
    <w:multiLevelType w:val="hybridMultilevel"/>
    <w:tmpl w:val="F8580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408C6DEE"/>
    <w:multiLevelType w:val="hybridMultilevel"/>
    <w:tmpl w:val="095A316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hint="default"/>
      </w:rPr>
    </w:lvl>
    <w:lvl w:ilvl="8" w:tplc="04090005">
      <w:start w:val="1"/>
      <w:numFmt w:val="bullet"/>
      <w:lvlText w:val=""/>
      <w:lvlJc w:val="left"/>
      <w:pPr>
        <w:ind w:left="6210" w:hanging="360"/>
      </w:pPr>
      <w:rPr>
        <w:rFonts w:ascii="Wingdings" w:hAnsi="Wingdings" w:hint="default"/>
      </w:rPr>
    </w:lvl>
  </w:abstractNum>
  <w:abstractNum w:abstractNumId="19">
    <w:nsid w:val="43AD745B"/>
    <w:multiLevelType w:val="hybridMultilevel"/>
    <w:tmpl w:val="C59A47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0">
    <w:nsid w:val="4AC77C5E"/>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1">
    <w:nsid w:val="4B64010D"/>
    <w:multiLevelType w:val="hybridMultilevel"/>
    <w:tmpl w:val="EC8A2C1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2">
    <w:nsid w:val="4D5B514C"/>
    <w:multiLevelType w:val="hybridMultilevel"/>
    <w:tmpl w:val="389E866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3">
    <w:nsid w:val="5A693C6E"/>
    <w:multiLevelType w:val="hybridMultilevel"/>
    <w:tmpl w:val="06649A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4">
    <w:nsid w:val="5F79688C"/>
    <w:multiLevelType w:val="hybridMultilevel"/>
    <w:tmpl w:val="BCAEDD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62A23611"/>
    <w:multiLevelType w:val="hybridMultilevel"/>
    <w:tmpl w:val="D8908842"/>
    <w:lvl w:ilvl="0" w:tplc="04090001">
      <w:start w:val="1"/>
      <w:numFmt w:val="bullet"/>
      <w:lvlText w:val=""/>
      <w:lvlJc w:val="left"/>
      <w:pPr>
        <w:tabs>
          <w:tab w:val="num" w:pos="360"/>
        </w:tabs>
        <w:ind w:left="360" w:hanging="360"/>
      </w:pPr>
      <w:rPr>
        <w:rFonts w:ascii="Symbol" w:hAnsi="Symbol" w:hint="default"/>
      </w:rPr>
    </w:lvl>
    <w:lvl w:ilvl="1" w:tplc="6D5CD30C">
      <w:numFmt w:val="bullet"/>
      <w:lvlText w:val="•"/>
      <w:lvlJc w:val="left"/>
      <w:pPr>
        <w:ind w:left="1440" w:hanging="360"/>
      </w:pPr>
      <w:rPr>
        <w:rFonts w:ascii="Times New Roman" w:eastAsia="Times New Roman" w:hAnsi="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68914B35"/>
    <w:multiLevelType w:val="hybridMultilevel"/>
    <w:tmpl w:val="1A12AC90"/>
    <w:lvl w:ilvl="0" w:tplc="81C86C72">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7">
    <w:nsid w:val="690243E0"/>
    <w:multiLevelType w:val="hybridMultilevel"/>
    <w:tmpl w:val="407887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8">
    <w:nsid w:val="726D145B"/>
    <w:multiLevelType w:val="hybridMultilevel"/>
    <w:tmpl w:val="2D822B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9">
    <w:nsid w:val="7342044C"/>
    <w:multiLevelType w:val="hybridMultilevel"/>
    <w:tmpl w:val="E86050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num w:numId="1">
    <w:abstractNumId w:val="2"/>
  </w:num>
  <w:num w:numId="2">
    <w:abstractNumId w:val="7"/>
  </w:num>
  <w:num w:numId="3">
    <w:abstractNumId w:val="17"/>
  </w:num>
  <w:num w:numId="4">
    <w:abstractNumId w:val="3"/>
  </w:num>
  <w:num w:numId="5">
    <w:abstractNumId w:val="25"/>
  </w:num>
  <w:num w:numId="6">
    <w:abstractNumId w:val="14"/>
  </w:num>
  <w:num w:numId="7">
    <w:abstractNumId w:val="1"/>
  </w:num>
  <w:num w:numId="8">
    <w:abstractNumId w:val="21"/>
  </w:num>
  <w:num w:numId="9">
    <w:abstractNumId w:val="27"/>
  </w:num>
  <w:num w:numId="10">
    <w:abstractNumId w:val="22"/>
  </w:num>
  <w:num w:numId="11">
    <w:abstractNumId w:val="10"/>
  </w:num>
  <w:num w:numId="12">
    <w:abstractNumId w:val="11"/>
  </w:num>
  <w:num w:numId="13">
    <w:abstractNumId w:val="24"/>
  </w:num>
  <w:num w:numId="14">
    <w:abstractNumId w:val="15"/>
  </w:num>
  <w:num w:numId="15">
    <w:abstractNumId w:val="13"/>
  </w:num>
  <w:num w:numId="16">
    <w:abstractNumId w:val="16"/>
  </w:num>
  <w:num w:numId="17">
    <w:abstractNumId w:val="6"/>
  </w:num>
  <w:num w:numId="18">
    <w:abstractNumId w:val="19"/>
  </w:num>
  <w:num w:numId="19">
    <w:abstractNumId w:val="26"/>
  </w:num>
  <w:num w:numId="20">
    <w:abstractNumId w:val="12"/>
  </w:num>
  <w:num w:numId="21">
    <w:abstractNumId w:val="8"/>
  </w:num>
  <w:num w:numId="22">
    <w:abstractNumId w:val="23"/>
  </w:num>
  <w:num w:numId="23">
    <w:abstractNumId w:val="29"/>
  </w:num>
  <w:num w:numId="24">
    <w:abstractNumId w:val="18"/>
  </w:num>
  <w:num w:numId="25">
    <w:abstractNumId w:val="4"/>
  </w:num>
  <w:num w:numId="26">
    <w:abstractNumId w:val="28"/>
  </w:num>
  <w:num w:numId="27">
    <w:abstractNumId w:val="9"/>
  </w:num>
  <w:num w:numId="28">
    <w:abstractNumId w:val="5"/>
  </w:num>
  <w:num w:numId="29">
    <w:abstractNumId w:val="0"/>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cumentProtection w:edit="forms" w:enforcement="1"/>
  <w:defaultTabStop w:val="720"/>
  <w:doNotHyphenateCaps/>
  <w:drawingGridHorizontalSpacing w:val="120"/>
  <w:displayHorizontalDrawingGridEvery w:val="2"/>
  <w:noPunctuationKerning/>
  <w:characterSpacingControl w:val="doNotCompress"/>
  <w:savePreviewPicture/>
  <w:doNotValidateAgainstSchema/>
  <w:doNotDemarcateInvalidXml/>
  <w:footnotePr>
    <w:footnote w:id="-1"/>
    <w:footnote w:id="0"/>
  </w:footnotePr>
  <w:endnotePr>
    <w:endnote w:id="-1"/>
    <w:endnote w:id="0"/>
  </w:endnotePr>
  <w:compat/>
  <w:rsids>
    <w:rsidRoot w:val="000D5083"/>
    <w:rsid w:val="00007864"/>
    <w:rsid w:val="00024EDF"/>
    <w:rsid w:val="000D5083"/>
    <w:rsid w:val="000E0080"/>
    <w:rsid w:val="00106C70"/>
    <w:rsid w:val="001240DA"/>
    <w:rsid w:val="00266800"/>
    <w:rsid w:val="002810D5"/>
    <w:rsid w:val="002959EC"/>
    <w:rsid w:val="00394CB1"/>
    <w:rsid w:val="003B613B"/>
    <w:rsid w:val="00427FCE"/>
    <w:rsid w:val="004502C7"/>
    <w:rsid w:val="004740B4"/>
    <w:rsid w:val="00496C8C"/>
    <w:rsid w:val="00534326"/>
    <w:rsid w:val="00544AB0"/>
    <w:rsid w:val="005B3AD7"/>
    <w:rsid w:val="005D4506"/>
    <w:rsid w:val="0061067E"/>
    <w:rsid w:val="006A2EBC"/>
    <w:rsid w:val="006A53A6"/>
    <w:rsid w:val="00783086"/>
    <w:rsid w:val="007840D1"/>
    <w:rsid w:val="0082156C"/>
    <w:rsid w:val="0086150B"/>
    <w:rsid w:val="008664EE"/>
    <w:rsid w:val="008C3408"/>
    <w:rsid w:val="00971B43"/>
    <w:rsid w:val="00A44AF9"/>
    <w:rsid w:val="00B93554"/>
    <w:rsid w:val="00BA4677"/>
    <w:rsid w:val="00BB0DC9"/>
    <w:rsid w:val="00BF1BB5"/>
    <w:rsid w:val="00C30B1D"/>
    <w:rsid w:val="00C56745"/>
    <w:rsid w:val="00CA070B"/>
    <w:rsid w:val="00CD57BA"/>
    <w:rsid w:val="00D82D67"/>
    <w:rsid w:val="00DC472C"/>
    <w:rsid w:val="00DD0803"/>
    <w:rsid w:val="00DF185E"/>
    <w:rsid w:val="00E61729"/>
    <w:rsid w:val="00E66BFF"/>
    <w:rsid w:val="00F0317B"/>
    <w:rsid w:val="00F067F5"/>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2156C"/>
    <w:rPr>
      <w:sz w:val="24"/>
      <w:szCs w:val="24"/>
    </w:rPr>
  </w:style>
  <w:style w:type="paragraph" w:styleId="Heading1">
    <w:name w:val="heading 1"/>
    <w:basedOn w:val="Normal"/>
    <w:next w:val="Normal"/>
    <w:link w:val="Heading1Char"/>
    <w:uiPriority w:val="99"/>
    <w:qFormat/>
    <w:rsid w:val="0082156C"/>
    <w:pPr>
      <w:keepNext/>
      <w:outlineLvl w:val="0"/>
    </w:pPr>
    <w:rPr>
      <w:b/>
      <w:bCs/>
      <w:u w:val="single"/>
    </w:rPr>
  </w:style>
  <w:style w:type="paragraph" w:styleId="Heading2">
    <w:name w:val="heading 2"/>
    <w:basedOn w:val="Normal"/>
    <w:next w:val="Normal"/>
    <w:link w:val="Heading2Char"/>
    <w:uiPriority w:val="99"/>
    <w:qFormat/>
    <w:rsid w:val="0082156C"/>
    <w:pPr>
      <w:keepNext/>
      <w:outlineLvl w:val="1"/>
    </w:pPr>
    <w:rPr>
      <w:i/>
      <w:iCs/>
    </w:rPr>
  </w:style>
  <w:style w:type="paragraph" w:styleId="Heading3">
    <w:name w:val="heading 3"/>
    <w:basedOn w:val="Normal"/>
    <w:next w:val="Normal"/>
    <w:link w:val="Heading3Char"/>
    <w:uiPriority w:val="99"/>
    <w:qFormat/>
    <w:rsid w:val="0082156C"/>
    <w:pPr>
      <w:keepNext/>
      <w:outlineLvl w:val="2"/>
    </w:pPr>
    <w:rPr>
      <w:b/>
      <w:bCs/>
    </w:rPr>
  </w:style>
  <w:style w:type="paragraph" w:styleId="Heading4">
    <w:name w:val="heading 4"/>
    <w:basedOn w:val="Normal"/>
    <w:next w:val="Normal"/>
    <w:link w:val="Heading4Char"/>
    <w:uiPriority w:val="99"/>
    <w:qFormat/>
    <w:rsid w:val="0082156C"/>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82156C"/>
    <w:pPr>
      <w:keepNext/>
      <w:ind w:left="720"/>
      <w:outlineLvl w:val="4"/>
    </w:pPr>
    <w:rPr>
      <w:b/>
      <w:bCs/>
    </w:rPr>
  </w:style>
  <w:style w:type="paragraph" w:styleId="Heading6">
    <w:name w:val="heading 6"/>
    <w:basedOn w:val="Normal"/>
    <w:next w:val="Normal"/>
    <w:link w:val="Heading6Char"/>
    <w:uiPriority w:val="99"/>
    <w:qFormat/>
    <w:rsid w:val="0082156C"/>
    <w:pPr>
      <w:keepNext/>
      <w:ind w:left="360"/>
      <w:outlineLvl w:val="5"/>
    </w:pPr>
    <w:rPr>
      <w:b/>
      <w:bCs/>
      <w:smallCaps/>
    </w:rPr>
  </w:style>
  <w:style w:type="paragraph" w:styleId="Heading7">
    <w:name w:val="heading 7"/>
    <w:basedOn w:val="Normal"/>
    <w:next w:val="Normal"/>
    <w:link w:val="Heading7Char"/>
    <w:uiPriority w:val="99"/>
    <w:qFormat/>
    <w:rsid w:val="0082156C"/>
    <w:pPr>
      <w:keepNext/>
      <w:outlineLvl w:val="6"/>
    </w:pPr>
    <w:rPr>
      <w:b/>
      <w:bCs/>
      <w:sz w:val="20"/>
      <w:szCs w:val="20"/>
    </w:rPr>
  </w:style>
  <w:style w:type="paragraph" w:styleId="Heading8">
    <w:name w:val="heading 8"/>
    <w:basedOn w:val="Normal"/>
    <w:next w:val="Normal"/>
    <w:link w:val="Heading8Char"/>
    <w:uiPriority w:val="99"/>
    <w:qFormat/>
    <w:rsid w:val="0082156C"/>
    <w:pPr>
      <w:keepNext/>
      <w:jc w:val="center"/>
      <w:outlineLvl w:val="7"/>
    </w:pPr>
    <w:rPr>
      <w:b/>
      <w:bCs/>
      <w:sz w:val="20"/>
      <w:szCs w:val="20"/>
    </w:rPr>
  </w:style>
  <w:style w:type="paragraph" w:styleId="Heading9">
    <w:name w:val="heading 9"/>
    <w:basedOn w:val="Normal"/>
    <w:next w:val="Normal"/>
    <w:link w:val="Heading9Char"/>
    <w:uiPriority w:val="99"/>
    <w:qFormat/>
    <w:rsid w:val="0082156C"/>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156C"/>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82156C"/>
    <w:rPr>
      <w:rFonts w:cs="Times New Roman"/>
      <w:i/>
      <w:iCs/>
      <w:sz w:val="24"/>
      <w:szCs w:val="24"/>
    </w:rPr>
  </w:style>
  <w:style w:type="character" w:customStyle="1" w:styleId="Heading3Char">
    <w:name w:val="Heading 3 Char"/>
    <w:basedOn w:val="DefaultParagraphFont"/>
    <w:link w:val="Heading3"/>
    <w:uiPriority w:val="99"/>
    <w:semiHidden/>
    <w:locked/>
    <w:rsid w:val="0082156C"/>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82156C"/>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82156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82156C"/>
    <w:rPr>
      <w:rFonts w:ascii="Calibri" w:hAnsi="Calibri" w:cs="Times New Roman"/>
      <w:b/>
      <w:bCs/>
    </w:rPr>
  </w:style>
  <w:style w:type="character" w:customStyle="1" w:styleId="Heading7Char">
    <w:name w:val="Heading 7 Char"/>
    <w:basedOn w:val="DefaultParagraphFont"/>
    <w:link w:val="Heading7"/>
    <w:uiPriority w:val="99"/>
    <w:semiHidden/>
    <w:locked/>
    <w:rsid w:val="0082156C"/>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82156C"/>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82156C"/>
    <w:rPr>
      <w:rFonts w:ascii="Cambria" w:hAnsi="Cambria" w:cs="Times New Roman"/>
    </w:rPr>
  </w:style>
  <w:style w:type="paragraph" w:styleId="Footer">
    <w:name w:val="footer"/>
    <w:basedOn w:val="Normal"/>
    <w:link w:val="FooterChar"/>
    <w:uiPriority w:val="99"/>
    <w:rsid w:val="0082156C"/>
    <w:pPr>
      <w:tabs>
        <w:tab w:val="center" w:pos="4320"/>
        <w:tab w:val="right" w:pos="8640"/>
      </w:tabs>
    </w:pPr>
  </w:style>
  <w:style w:type="character" w:customStyle="1" w:styleId="FooterChar">
    <w:name w:val="Footer Char"/>
    <w:basedOn w:val="DefaultParagraphFont"/>
    <w:link w:val="Footer"/>
    <w:uiPriority w:val="99"/>
    <w:locked/>
    <w:rsid w:val="0082156C"/>
    <w:rPr>
      <w:rFonts w:cs="Times New Roman"/>
      <w:sz w:val="24"/>
      <w:szCs w:val="24"/>
    </w:rPr>
  </w:style>
  <w:style w:type="character" w:styleId="PageNumber">
    <w:name w:val="page number"/>
    <w:basedOn w:val="DefaultParagraphFont"/>
    <w:uiPriority w:val="99"/>
    <w:rsid w:val="0082156C"/>
    <w:rPr>
      <w:rFonts w:cs="Times New Roman"/>
    </w:rPr>
  </w:style>
  <w:style w:type="paragraph" w:styleId="Header">
    <w:name w:val="header"/>
    <w:basedOn w:val="Normal"/>
    <w:link w:val="HeaderChar"/>
    <w:uiPriority w:val="99"/>
    <w:rsid w:val="0082156C"/>
    <w:pPr>
      <w:tabs>
        <w:tab w:val="center" w:pos="4320"/>
        <w:tab w:val="right" w:pos="8640"/>
      </w:tabs>
    </w:pPr>
  </w:style>
  <w:style w:type="character" w:customStyle="1" w:styleId="HeaderChar">
    <w:name w:val="Header Char"/>
    <w:basedOn w:val="DefaultParagraphFont"/>
    <w:link w:val="Header"/>
    <w:uiPriority w:val="99"/>
    <w:locked/>
    <w:rsid w:val="0082156C"/>
    <w:rPr>
      <w:rFonts w:cs="Times New Roman"/>
      <w:sz w:val="24"/>
      <w:szCs w:val="24"/>
    </w:rPr>
  </w:style>
  <w:style w:type="paragraph" w:styleId="BodyText">
    <w:name w:val="Body Text"/>
    <w:basedOn w:val="Normal"/>
    <w:link w:val="BodyTextChar"/>
    <w:uiPriority w:val="99"/>
    <w:rsid w:val="0082156C"/>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82156C"/>
    <w:rPr>
      <w:rFonts w:cs="Times New Roman"/>
      <w:sz w:val="24"/>
      <w:szCs w:val="24"/>
    </w:rPr>
  </w:style>
  <w:style w:type="paragraph" w:styleId="Caption">
    <w:name w:val="caption"/>
    <w:basedOn w:val="Normal"/>
    <w:next w:val="Normal"/>
    <w:uiPriority w:val="99"/>
    <w:qFormat/>
    <w:rsid w:val="0082156C"/>
    <w:rPr>
      <w:rFonts w:ascii="Times New Roman Bold" w:hAnsi="Times New Roman Bold" w:cs="Times New Roman Bold"/>
      <w:b/>
      <w:bCs/>
      <w:caps/>
    </w:rPr>
  </w:style>
  <w:style w:type="paragraph" w:styleId="BodyText2">
    <w:name w:val="Body Text 2"/>
    <w:basedOn w:val="Normal"/>
    <w:link w:val="BodyText2Char"/>
    <w:uiPriority w:val="99"/>
    <w:rsid w:val="0082156C"/>
    <w:rPr>
      <w:b/>
      <w:bCs/>
      <w:smallCaps/>
    </w:rPr>
  </w:style>
  <w:style w:type="character" w:customStyle="1" w:styleId="BodyText2Char">
    <w:name w:val="Body Text 2 Char"/>
    <w:basedOn w:val="DefaultParagraphFont"/>
    <w:link w:val="BodyText2"/>
    <w:uiPriority w:val="99"/>
    <w:semiHidden/>
    <w:locked/>
    <w:rsid w:val="0082156C"/>
    <w:rPr>
      <w:rFonts w:cs="Times New Roman"/>
      <w:sz w:val="24"/>
      <w:szCs w:val="24"/>
    </w:rPr>
  </w:style>
  <w:style w:type="paragraph" w:customStyle="1" w:styleId="Outline">
    <w:name w:val="Outline"/>
    <w:basedOn w:val="Normal"/>
    <w:uiPriority w:val="99"/>
    <w:rsid w:val="0082156C"/>
    <w:pPr>
      <w:spacing w:before="240"/>
    </w:pPr>
    <w:rPr>
      <w:kern w:val="28"/>
    </w:rPr>
  </w:style>
  <w:style w:type="paragraph" w:styleId="BodyTextIndent2">
    <w:name w:val="Body Text Indent 2"/>
    <w:basedOn w:val="Normal"/>
    <w:link w:val="BodyTextIndent2Char"/>
    <w:uiPriority w:val="99"/>
    <w:rsid w:val="0082156C"/>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82156C"/>
    <w:rPr>
      <w:rFonts w:cs="Times New Roman"/>
      <w:sz w:val="24"/>
      <w:szCs w:val="24"/>
    </w:rPr>
  </w:style>
  <w:style w:type="character" w:styleId="Hyperlink">
    <w:name w:val="Hyperlink"/>
    <w:basedOn w:val="DefaultParagraphFont"/>
    <w:uiPriority w:val="99"/>
    <w:rsid w:val="0082156C"/>
    <w:rPr>
      <w:rFonts w:cs="Times New Roman"/>
      <w:color w:val="0000FF"/>
      <w:u w:val="single"/>
    </w:rPr>
  </w:style>
  <w:style w:type="paragraph" w:styleId="BodyTextIndent">
    <w:name w:val="Body Text Indent"/>
    <w:basedOn w:val="Normal"/>
    <w:link w:val="BodyTextIndentChar"/>
    <w:uiPriority w:val="99"/>
    <w:rsid w:val="0082156C"/>
    <w:pPr>
      <w:spacing w:after="80"/>
      <w:ind w:left="1080"/>
      <w:jc w:val="both"/>
    </w:pPr>
  </w:style>
  <w:style w:type="character" w:customStyle="1" w:styleId="BodyTextIndentChar">
    <w:name w:val="Body Text Indent Char"/>
    <w:basedOn w:val="DefaultParagraphFont"/>
    <w:link w:val="BodyTextIndent"/>
    <w:uiPriority w:val="99"/>
    <w:semiHidden/>
    <w:locked/>
    <w:rsid w:val="0082156C"/>
    <w:rPr>
      <w:rFonts w:cs="Times New Roman"/>
      <w:sz w:val="24"/>
      <w:szCs w:val="24"/>
    </w:rPr>
  </w:style>
  <w:style w:type="paragraph" w:styleId="BodyTextIndent3">
    <w:name w:val="Body Text Indent 3"/>
    <w:basedOn w:val="Normal"/>
    <w:link w:val="BodyTextIndent3Char"/>
    <w:uiPriority w:val="99"/>
    <w:rsid w:val="0082156C"/>
    <w:pPr>
      <w:ind w:left="540"/>
    </w:pPr>
  </w:style>
  <w:style w:type="character" w:customStyle="1" w:styleId="BodyTextIndent3Char">
    <w:name w:val="Body Text Indent 3 Char"/>
    <w:basedOn w:val="DefaultParagraphFont"/>
    <w:link w:val="BodyTextIndent3"/>
    <w:uiPriority w:val="99"/>
    <w:semiHidden/>
    <w:locked/>
    <w:rsid w:val="0082156C"/>
    <w:rPr>
      <w:rFonts w:cs="Times New Roman"/>
      <w:sz w:val="16"/>
      <w:szCs w:val="16"/>
    </w:rPr>
  </w:style>
  <w:style w:type="paragraph" w:styleId="BalloonText">
    <w:name w:val="Balloon Text"/>
    <w:basedOn w:val="Normal"/>
    <w:link w:val="BalloonTextChar"/>
    <w:uiPriority w:val="99"/>
    <w:semiHidden/>
    <w:rsid w:val="0082156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2156C"/>
    <w:rPr>
      <w:rFonts w:ascii="Tahoma" w:hAnsi="Tahoma" w:cs="Tahoma"/>
      <w:sz w:val="16"/>
      <w:szCs w:val="16"/>
    </w:rPr>
  </w:style>
  <w:style w:type="table" w:styleId="TableGrid">
    <w:name w:val="Table Grid"/>
    <w:basedOn w:val="TableNormal"/>
    <w:uiPriority w:val="99"/>
    <w:rsid w:val="0082156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82156C"/>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82156C"/>
    <w:rPr>
      <w:rFonts w:cs="Times New Roman"/>
    </w:rPr>
  </w:style>
  <w:style w:type="character" w:styleId="FootnoteReference">
    <w:name w:val="footnote reference"/>
    <w:aliases w:val="16 Point,Superscript 6 Point"/>
    <w:basedOn w:val="DefaultParagraphFont"/>
    <w:uiPriority w:val="99"/>
    <w:semiHidden/>
    <w:rsid w:val="0082156C"/>
    <w:rPr>
      <w:rFonts w:cs="Times New Roman"/>
      <w:vertAlign w:val="superscript"/>
    </w:rPr>
  </w:style>
  <w:style w:type="character" w:styleId="FollowedHyperlink">
    <w:name w:val="FollowedHyperlink"/>
    <w:basedOn w:val="DefaultParagraphFont"/>
    <w:uiPriority w:val="99"/>
    <w:rsid w:val="0082156C"/>
    <w:rPr>
      <w:rFonts w:cs="Times New Roman"/>
      <w:color w:val="auto"/>
      <w:u w:val="single"/>
    </w:rPr>
  </w:style>
  <w:style w:type="paragraph" w:styleId="DocumentMap">
    <w:name w:val="Document Map"/>
    <w:basedOn w:val="Normal"/>
    <w:link w:val="DocumentMapChar"/>
    <w:uiPriority w:val="99"/>
    <w:semiHidden/>
    <w:rsid w:val="0082156C"/>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82156C"/>
    <w:rPr>
      <w:rFonts w:cs="Times New Roman"/>
      <w:sz w:val="2"/>
    </w:rPr>
  </w:style>
  <w:style w:type="paragraph" w:customStyle="1" w:styleId="MainParanoChapter">
    <w:name w:val="Main Para no Chapter #"/>
    <w:basedOn w:val="Normal"/>
    <w:link w:val="MainParanoChapterChar"/>
    <w:autoRedefine/>
    <w:uiPriority w:val="99"/>
    <w:rsid w:val="0082156C"/>
    <w:pPr>
      <w:numPr>
        <w:numId w:val="2"/>
      </w:numPr>
      <w:spacing w:before="120" w:after="240"/>
      <w:outlineLvl w:val="1"/>
    </w:pPr>
    <w:rPr>
      <w:color w:val="000000"/>
    </w:rPr>
  </w:style>
  <w:style w:type="paragraph" w:styleId="TOC1">
    <w:name w:val="toc 1"/>
    <w:basedOn w:val="Normal"/>
    <w:next w:val="Normal"/>
    <w:autoRedefine/>
    <w:uiPriority w:val="99"/>
    <w:semiHidden/>
    <w:rsid w:val="0082156C"/>
    <w:pPr>
      <w:tabs>
        <w:tab w:val="right" w:leader="dot" w:pos="9638"/>
      </w:tabs>
      <w:ind w:left="3600"/>
      <w:jc w:val="right"/>
    </w:pPr>
    <w:rPr>
      <w:b/>
      <w:bCs/>
      <w:caps/>
      <w:noProof/>
      <w:sz w:val="22"/>
      <w:szCs w:val="22"/>
    </w:rPr>
  </w:style>
  <w:style w:type="paragraph" w:styleId="ListParagraph">
    <w:name w:val="List Paragraph"/>
    <w:basedOn w:val="Normal"/>
    <w:autoRedefine/>
    <w:uiPriority w:val="99"/>
    <w:qFormat/>
    <w:rsid w:val="0082156C"/>
    <w:pPr>
      <w:numPr>
        <w:numId w:val="27"/>
      </w:numPr>
      <w:shd w:val="clear" w:color="auto" w:fill="FFFFFF"/>
      <w:autoSpaceDE w:val="0"/>
      <w:autoSpaceDN w:val="0"/>
      <w:adjustRightInd w:val="0"/>
      <w:spacing w:after="144"/>
      <w:ind w:left="357" w:hanging="357"/>
      <w:jc w:val="both"/>
    </w:pPr>
    <w:rPr>
      <w:rFonts w:ascii="Calibri" w:hAnsi="Calibri" w:cs="Calibri"/>
      <w:sz w:val="20"/>
      <w:szCs w:val="20"/>
      <w:lang w:val="en-GB"/>
    </w:rPr>
  </w:style>
  <w:style w:type="character" w:customStyle="1" w:styleId="MainParanoChapterChar">
    <w:name w:val="Main Para no Chapter # Char"/>
    <w:link w:val="MainParanoChapter"/>
    <w:uiPriority w:val="99"/>
    <w:locked/>
    <w:rsid w:val="0082156C"/>
    <w:rPr>
      <w:color w:val="000000"/>
      <w:sz w:val="24"/>
    </w:rPr>
  </w:style>
  <w:style w:type="paragraph" w:styleId="NoSpacing">
    <w:name w:val="No Spacing"/>
    <w:uiPriority w:val="99"/>
    <w:qFormat/>
    <w:rsid w:val="0082156C"/>
    <w:rPr>
      <w:rFonts w:ascii="Calibri" w:hAnsi="Calibri" w:cs="Calibri"/>
    </w:rPr>
  </w:style>
  <w:style w:type="character" w:styleId="CommentReference">
    <w:name w:val="annotation reference"/>
    <w:basedOn w:val="DefaultParagraphFont"/>
    <w:uiPriority w:val="99"/>
    <w:semiHidden/>
    <w:rsid w:val="0082156C"/>
    <w:rPr>
      <w:rFonts w:cs="Times New Roman"/>
      <w:sz w:val="16"/>
      <w:szCs w:val="16"/>
    </w:rPr>
  </w:style>
  <w:style w:type="paragraph" w:styleId="CommentText">
    <w:name w:val="annotation text"/>
    <w:basedOn w:val="Normal"/>
    <w:link w:val="CommentTextChar"/>
    <w:uiPriority w:val="99"/>
    <w:semiHidden/>
    <w:rsid w:val="0082156C"/>
    <w:rPr>
      <w:sz w:val="20"/>
      <w:szCs w:val="20"/>
    </w:rPr>
  </w:style>
  <w:style w:type="character" w:customStyle="1" w:styleId="CommentTextChar">
    <w:name w:val="Comment Text Char"/>
    <w:basedOn w:val="DefaultParagraphFont"/>
    <w:link w:val="CommentText"/>
    <w:uiPriority w:val="99"/>
    <w:locked/>
    <w:rsid w:val="0082156C"/>
    <w:rPr>
      <w:rFonts w:cs="Times New Roman"/>
    </w:rPr>
  </w:style>
  <w:style w:type="paragraph" w:styleId="CommentSubject">
    <w:name w:val="annotation subject"/>
    <w:basedOn w:val="CommentText"/>
    <w:next w:val="CommentText"/>
    <w:link w:val="CommentSubjectChar"/>
    <w:uiPriority w:val="99"/>
    <w:semiHidden/>
    <w:rsid w:val="0082156C"/>
    <w:rPr>
      <w:b/>
      <w:bCs/>
    </w:rPr>
  </w:style>
  <w:style w:type="character" w:customStyle="1" w:styleId="CommentSubjectChar">
    <w:name w:val="Comment Subject Char"/>
    <w:basedOn w:val="CommentTextChar"/>
    <w:link w:val="CommentSubject"/>
    <w:uiPriority w:val="99"/>
    <w:locked/>
    <w:rsid w:val="0082156C"/>
    <w:rPr>
      <w:rFonts w:cs="Times New Roman"/>
      <w:b/>
      <w:bCs/>
    </w:rPr>
  </w:style>
  <w:style w:type="paragraph" w:customStyle="1" w:styleId="Default">
    <w:name w:val="Default"/>
    <w:uiPriority w:val="99"/>
    <w:rsid w:val="0082156C"/>
    <w:pPr>
      <w:autoSpaceDE w:val="0"/>
      <w:autoSpaceDN w:val="0"/>
      <w:adjustRightInd w:val="0"/>
    </w:pPr>
    <w:rPr>
      <w:rFonts w:ascii="Georgia" w:hAnsi="Georgia" w:cs="Georgia"/>
      <w:color w:val="000000"/>
      <w:sz w:val="24"/>
      <w:szCs w:val="24"/>
    </w:rPr>
  </w:style>
  <w:style w:type="paragraph" w:styleId="Revision">
    <w:name w:val="Revision"/>
    <w:hidden/>
    <w:uiPriority w:val="99"/>
    <w:semiHidden/>
    <w:rsid w:val="0082156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uiPriority w:val="99"/>
    <w:qFormat/>
    <w:pPr>
      <w:keepNext/>
      <w:outlineLvl w:val="0"/>
    </w:pPr>
    <w:rPr>
      <w:b/>
      <w:bCs/>
      <w:u w:val="single"/>
    </w:rPr>
  </w:style>
  <w:style w:type="paragraph" w:styleId="Heading2">
    <w:name w:val="heading 2"/>
    <w:basedOn w:val="Normal"/>
    <w:next w:val="Normal"/>
    <w:link w:val="Heading2Char"/>
    <w:uiPriority w:val="99"/>
    <w:qFormat/>
    <w:pPr>
      <w:keepNext/>
      <w:outlineLvl w:val="1"/>
    </w:pPr>
    <w:rPr>
      <w:i/>
      <w:iCs/>
    </w:rPr>
  </w:style>
  <w:style w:type="paragraph" w:styleId="Heading3">
    <w:name w:val="heading 3"/>
    <w:basedOn w:val="Normal"/>
    <w:next w:val="Normal"/>
    <w:link w:val="Heading3Char"/>
    <w:uiPriority w:val="99"/>
    <w:qFormat/>
    <w:pPr>
      <w:keepNext/>
      <w:outlineLvl w:val="2"/>
    </w:pPr>
    <w:rPr>
      <w:b/>
      <w:bCs/>
    </w:rPr>
  </w:style>
  <w:style w:type="paragraph" w:styleId="Heading4">
    <w:name w:val="heading 4"/>
    <w:basedOn w:val="Normal"/>
    <w:next w:val="Normal"/>
    <w:link w:val="Heading4Char"/>
    <w:uiPriority w:val="99"/>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pPr>
      <w:keepNext/>
      <w:ind w:left="720"/>
      <w:outlineLvl w:val="4"/>
    </w:pPr>
    <w:rPr>
      <w:b/>
      <w:bCs/>
    </w:rPr>
  </w:style>
  <w:style w:type="paragraph" w:styleId="Heading6">
    <w:name w:val="heading 6"/>
    <w:basedOn w:val="Normal"/>
    <w:next w:val="Normal"/>
    <w:link w:val="Heading6Char"/>
    <w:uiPriority w:val="99"/>
    <w:qFormat/>
    <w:pPr>
      <w:keepNext/>
      <w:ind w:left="360"/>
      <w:outlineLvl w:val="5"/>
    </w:pPr>
    <w:rPr>
      <w:b/>
      <w:bCs/>
      <w:smallCaps/>
    </w:rPr>
  </w:style>
  <w:style w:type="paragraph" w:styleId="Heading7">
    <w:name w:val="heading 7"/>
    <w:basedOn w:val="Normal"/>
    <w:next w:val="Normal"/>
    <w:link w:val="Heading7Char"/>
    <w:uiPriority w:val="99"/>
    <w:qFormat/>
    <w:pPr>
      <w:keepNext/>
      <w:outlineLvl w:val="6"/>
    </w:pPr>
    <w:rPr>
      <w:b/>
      <w:bCs/>
      <w:sz w:val="20"/>
      <w:szCs w:val="20"/>
    </w:rPr>
  </w:style>
  <w:style w:type="paragraph" w:styleId="Heading8">
    <w:name w:val="heading 8"/>
    <w:basedOn w:val="Normal"/>
    <w:next w:val="Normal"/>
    <w:link w:val="Heading8Char"/>
    <w:uiPriority w:val="99"/>
    <w:qFormat/>
    <w:pPr>
      <w:keepNext/>
      <w:jc w:val="center"/>
      <w:outlineLvl w:val="7"/>
    </w:pPr>
    <w:rPr>
      <w:b/>
      <w:bCs/>
      <w:sz w:val="20"/>
      <w:szCs w:val="20"/>
    </w:rPr>
  </w:style>
  <w:style w:type="paragraph" w:styleId="Heading9">
    <w:name w:val="heading 9"/>
    <w:basedOn w:val="Normal"/>
    <w:next w:val="Normal"/>
    <w:link w:val="Heading9Char"/>
    <w:uiPriority w:val="99"/>
    <w:qFormat/>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Pr>
      <w:rFonts w:cs="Times New Roman"/>
      <w:i/>
      <w:iCs/>
      <w:sz w:val="24"/>
      <w:szCs w:val="24"/>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character" w:customStyle="1" w:styleId="Heading7Char">
    <w:name w:val="Heading 7 Char"/>
    <w:basedOn w:val="DefaultParagraphFont"/>
    <w:link w:val="Heading7"/>
    <w:uiPriority w:val="99"/>
    <w:semiHidden/>
    <w:locked/>
    <w:rPr>
      <w:rFonts w:ascii="Calibri" w:hAnsi="Calibri" w:cs="Times New Roman"/>
      <w:sz w:val="24"/>
      <w:szCs w:val="24"/>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Pr>
      <w:rFonts w:ascii="Cambria" w:hAnsi="Cambria"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character" w:styleId="PageNumber">
    <w:name w:val="page number"/>
    <w:basedOn w:val="DefaultParagraphFont"/>
    <w:uiPriority w:val="99"/>
    <w:rPr>
      <w:rFonts w:cs="Times New Roman"/>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locked/>
    <w:rPr>
      <w:rFonts w:cs="Times New Roman"/>
      <w:sz w:val="24"/>
      <w:szCs w:val="24"/>
    </w:rPr>
  </w:style>
  <w:style w:type="paragraph" w:styleId="BodyText">
    <w:name w:val="Body Text"/>
    <w:basedOn w:val="Normal"/>
    <w:link w:val="BodyTextChar"/>
    <w:uiPriority w:val="99"/>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Caption">
    <w:name w:val="caption"/>
    <w:basedOn w:val="Normal"/>
    <w:next w:val="Normal"/>
    <w:uiPriority w:val="99"/>
    <w:qFormat/>
    <w:rPr>
      <w:rFonts w:ascii="Times New Roman Bold" w:hAnsi="Times New Roman Bold" w:cs="Times New Roman Bold"/>
      <w:b/>
      <w:bCs/>
      <w:caps/>
    </w:rPr>
  </w:style>
  <w:style w:type="paragraph" w:styleId="BodyText2">
    <w:name w:val="Body Text 2"/>
    <w:basedOn w:val="Normal"/>
    <w:link w:val="BodyText2Char"/>
    <w:uiPriority w:val="99"/>
    <w:rPr>
      <w:b/>
      <w:bCs/>
      <w:smallCaps/>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customStyle="1" w:styleId="Outline">
    <w:name w:val="Outline"/>
    <w:basedOn w:val="Normal"/>
    <w:uiPriority w:val="99"/>
    <w:pPr>
      <w:spacing w:before="240"/>
    </w:pPr>
    <w:rPr>
      <w:kern w:val="28"/>
    </w:rPr>
  </w:style>
  <w:style w:type="paragraph" w:styleId="BodyTextIndent2">
    <w:name w:val="Body Text Indent 2"/>
    <w:basedOn w:val="Normal"/>
    <w:link w:val="BodyTextIndent2Char"/>
    <w:uiPriority w:val="99"/>
    <w:pPr>
      <w:ind w:left="360"/>
    </w:pPr>
    <w:rPr>
      <w:i/>
      <w:iCs/>
      <w:sz w:val="22"/>
      <w:szCs w:val="22"/>
    </w:rPr>
  </w:style>
  <w:style w:type="character" w:customStyle="1" w:styleId="BodyTextIndent2Char">
    <w:name w:val="Body Text Indent 2 Char"/>
    <w:basedOn w:val="DefaultParagraphFont"/>
    <w:link w:val="BodyTextIndent2"/>
    <w:uiPriority w:val="99"/>
    <w:semiHidden/>
    <w:locked/>
    <w:rPr>
      <w:rFonts w:cs="Times New Roman"/>
      <w:sz w:val="24"/>
      <w:szCs w:val="24"/>
    </w:rPr>
  </w:style>
  <w:style w:type="character" w:styleId="Hyperlink">
    <w:name w:val="Hyperlink"/>
    <w:basedOn w:val="DefaultParagraphFont"/>
    <w:uiPriority w:val="99"/>
    <w:rPr>
      <w:rFonts w:cs="Times New Roman"/>
      <w:color w:val="0000FF"/>
      <w:u w:val="single"/>
    </w:rPr>
  </w:style>
  <w:style w:type="paragraph" w:styleId="BodyTextIndent">
    <w:name w:val="Body Text Indent"/>
    <w:basedOn w:val="Normal"/>
    <w:link w:val="BodyTextIndentChar"/>
    <w:uiPriority w:val="99"/>
    <w:pPr>
      <w:spacing w:after="80"/>
      <w:ind w:left="1080"/>
      <w:jc w:val="both"/>
    </w:pPr>
  </w:style>
  <w:style w:type="character" w:customStyle="1" w:styleId="BodyTextIndentChar">
    <w:name w:val="Body Text Indent Char"/>
    <w:basedOn w:val="DefaultParagraphFont"/>
    <w:link w:val="BodyTextIndent"/>
    <w:uiPriority w:val="99"/>
    <w:semiHidden/>
    <w:locked/>
    <w:rPr>
      <w:rFonts w:cs="Times New Roman"/>
      <w:sz w:val="24"/>
      <w:szCs w:val="24"/>
    </w:rPr>
  </w:style>
  <w:style w:type="paragraph" w:styleId="BodyTextIndent3">
    <w:name w:val="Body Text Indent 3"/>
    <w:basedOn w:val="Normal"/>
    <w:link w:val="BodyTextIndent3Char"/>
    <w:uiPriority w:val="99"/>
    <w:pPr>
      <w:ind w:left="540"/>
    </w:p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Pr>
      <w:rFonts w:cs="Times New Roman"/>
    </w:rPr>
  </w:style>
  <w:style w:type="character" w:styleId="FootnoteReference">
    <w:name w:val="footnote reference"/>
    <w:aliases w:val="16 Point,Superscript 6 Point"/>
    <w:basedOn w:val="DefaultParagraphFont"/>
    <w:uiPriority w:val="99"/>
    <w:semiHidden/>
    <w:rPr>
      <w:rFonts w:cs="Times New Roman"/>
      <w:vertAlign w:val="superscript"/>
    </w:rPr>
  </w:style>
  <w:style w:type="character" w:styleId="FollowedHyperlink">
    <w:name w:val="FollowedHyperlink"/>
    <w:basedOn w:val="DefaultParagraphFont"/>
    <w:uiPriority w:val="99"/>
    <w:rPr>
      <w:rFonts w:cs="Times New Roman"/>
      <w:color w:val="auto"/>
      <w:u w:val="single"/>
    </w:r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cs="Times New Roman"/>
      <w:sz w:val="2"/>
    </w:rPr>
  </w:style>
  <w:style w:type="paragraph" w:customStyle="1" w:styleId="MainParanoChapter">
    <w:name w:val="Main Para no Chapter #"/>
    <w:basedOn w:val="Normal"/>
    <w:link w:val="MainParanoChapterChar"/>
    <w:autoRedefine/>
    <w:uiPriority w:val="99"/>
    <w:pPr>
      <w:numPr>
        <w:numId w:val="2"/>
      </w:numPr>
      <w:spacing w:before="120" w:after="240"/>
      <w:outlineLvl w:val="1"/>
    </w:pPr>
    <w:rPr>
      <w:color w:val="000000"/>
    </w:rPr>
  </w:style>
  <w:style w:type="paragraph" w:styleId="TOC1">
    <w:name w:val="toc 1"/>
    <w:basedOn w:val="Normal"/>
    <w:next w:val="Normal"/>
    <w:autoRedefine/>
    <w:uiPriority w:val="99"/>
    <w:semiHidden/>
    <w:pPr>
      <w:tabs>
        <w:tab w:val="right" w:leader="dot" w:pos="9638"/>
      </w:tabs>
      <w:ind w:left="3600"/>
      <w:jc w:val="right"/>
    </w:pPr>
    <w:rPr>
      <w:b/>
      <w:bCs/>
      <w:caps/>
      <w:noProof/>
      <w:sz w:val="22"/>
      <w:szCs w:val="22"/>
    </w:rPr>
  </w:style>
  <w:style w:type="paragraph" w:styleId="ListParagraph">
    <w:name w:val="List Paragraph"/>
    <w:basedOn w:val="Normal"/>
    <w:autoRedefine/>
    <w:uiPriority w:val="99"/>
    <w:qFormat/>
    <w:pPr>
      <w:numPr>
        <w:numId w:val="27"/>
      </w:numPr>
      <w:shd w:val="clear" w:color="auto" w:fill="FFFFFF"/>
      <w:autoSpaceDE w:val="0"/>
      <w:autoSpaceDN w:val="0"/>
      <w:adjustRightInd w:val="0"/>
      <w:spacing w:after="144"/>
      <w:ind w:left="357" w:hanging="357"/>
      <w:jc w:val="both"/>
    </w:pPr>
    <w:rPr>
      <w:rFonts w:ascii="Calibri" w:hAnsi="Calibri" w:cs="Calibri"/>
      <w:sz w:val="20"/>
      <w:szCs w:val="20"/>
      <w:lang w:val="en-GB"/>
    </w:rPr>
  </w:style>
  <w:style w:type="character" w:customStyle="1" w:styleId="MainParanoChapterChar">
    <w:name w:val="Main Para no Chapter # Char"/>
    <w:link w:val="MainParanoChapter"/>
    <w:uiPriority w:val="99"/>
    <w:locked/>
    <w:rPr>
      <w:color w:val="000000"/>
      <w:sz w:val="24"/>
    </w:rPr>
  </w:style>
  <w:style w:type="paragraph" w:styleId="NoSpacing">
    <w:name w:val="No Spacing"/>
    <w:uiPriority w:val="99"/>
    <w:qFormat/>
    <w:rPr>
      <w:rFonts w:ascii="Calibri" w:hAnsi="Calibri" w:cs="Calibri"/>
    </w:rPr>
  </w:style>
  <w:style w:type="character" w:styleId="CommentReference">
    <w:name w:val="annotation reference"/>
    <w:basedOn w:val="DefaultParagraphFont"/>
    <w:uiPriority w:val="99"/>
    <w:semiHidden/>
    <w:rPr>
      <w:rFonts w:cs="Times New Roman"/>
      <w:sz w:val="16"/>
      <w:szCs w:val="16"/>
    </w:rPr>
  </w:style>
  <w:style w:type="paragraph" w:styleId="CommentText">
    <w:name w:val="annotation text"/>
    <w:basedOn w:val="Normal"/>
    <w:link w:val="CommentTextChar"/>
    <w:uiPriority w:val="99"/>
    <w:semiHidden/>
    <w:rPr>
      <w:sz w:val="20"/>
      <w:szCs w:val="20"/>
    </w:rPr>
  </w:style>
  <w:style w:type="character" w:customStyle="1" w:styleId="CommentTextChar">
    <w:name w:val="Comment Text Char"/>
    <w:basedOn w:val="DefaultParagraphFont"/>
    <w:link w:val="CommentText"/>
    <w:uiPriority w:val="99"/>
    <w:locked/>
    <w:rPr>
      <w:rFonts w:cs="Times New Roman"/>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locked/>
    <w:rPr>
      <w:rFonts w:cs="Times New Roman"/>
      <w:b/>
      <w:bCs/>
    </w:rPr>
  </w:style>
  <w:style w:type="paragraph" w:customStyle="1" w:styleId="Default">
    <w:name w:val="Default"/>
    <w:uiPriority w:val="99"/>
    <w:pPr>
      <w:autoSpaceDE w:val="0"/>
      <w:autoSpaceDN w:val="0"/>
      <w:adjustRightInd w:val="0"/>
    </w:pPr>
    <w:rPr>
      <w:rFonts w:ascii="Georgia" w:hAnsi="Georgia" w:cs="Georgia"/>
      <w:color w:val="000000"/>
      <w:sz w:val="24"/>
      <w:szCs w:val="24"/>
    </w:rPr>
  </w:style>
  <w:style w:type="paragraph" w:styleId="Revision">
    <w:name w:val="Revision"/>
    <w:hidden/>
    <w:uiPriority w:val="99"/>
    <w:semiHidden/>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Program%20strategy%20V.2.pdf" TargetMode="External"/><Relationship Id="rId18" Type="http://schemas.openxmlformats.org/officeDocument/2006/relationships/hyperlink" Target="http://www.thegef.org/gef/sites/thegef.org/files/publication/mainstreaming-gender-at-the-GEF.pdf"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www.thegef.org/gef/sites/thegef.org/files/documents/GEF.R.5.19.Rev_.1.2009.pdf" TargetMode="External"/><Relationship Id="rId17" Type="http://schemas.openxmlformats.org/officeDocument/2006/relationships/hyperlink" Target="http://www.thegef.org/gef/sites/thegef.org/files/documents/CPE-Global_Environmental_Benefits_Assessment_Outline.pdf"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sites/thegef.org/files/documents/OFP%20Endorsement%20Letter%20Template%20for%20SGP%2009-08-2010.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www.thegef.org/gef/node/1890" TargetMode="External"/><Relationship Id="rId23" Type="http://schemas.openxmlformats.org/officeDocument/2006/relationships/theme" Target="theme/theme1.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OFP%20Endorsement%20Letter%20Template%2009-29-2010.doc"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image" Target="media/image2.png"/><Relationship Id="rId22" Type="http://schemas.openxmlformats.org/officeDocument/2006/relationships/fontTable" Target="fontTable.xml"/><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E62A57-DC70-4C1E-AC3A-37145DC0E1CB}">
  <ds:schemaRefs>
    <ds:schemaRef ds:uri="http://schemas.openxmlformats.org/officeDocument/2006/bibliography"/>
  </ds:schemaRefs>
</ds:datastoreItem>
</file>

<file path=customXml/itemProps2.xml><?xml version="1.0" encoding="utf-8"?>
<ds:datastoreItem xmlns:ds="http://schemas.openxmlformats.org/officeDocument/2006/customXml" ds:itemID="{AF9EBC90-F890-47C2-802A-CD2EDAFA8098}"/>
</file>

<file path=customXml/itemProps3.xml><?xml version="1.0" encoding="utf-8"?>
<ds:datastoreItem xmlns:ds="http://schemas.openxmlformats.org/officeDocument/2006/customXml" ds:itemID="{A1C37153-C3DA-4ADB-85B4-536AA4AC3F54}"/>
</file>

<file path=customXml/itemProps4.xml><?xml version="1.0" encoding="utf-8"?>
<ds:datastoreItem xmlns:ds="http://schemas.openxmlformats.org/officeDocument/2006/customXml" ds:itemID="{E2986F12-A121-4727-B627-7CDFD7BFB2DA}"/>
</file>

<file path=docProps/app.xml><?xml version="1.0" encoding="utf-8"?>
<Properties xmlns="http://schemas.openxmlformats.org/officeDocument/2006/extended-properties" xmlns:vt="http://schemas.openxmlformats.org/officeDocument/2006/docPropsVTypes">
  <Template>Normal.dotm</Template>
  <TotalTime>1</TotalTime>
  <Pages>29</Pages>
  <Words>17130</Words>
  <Characters>97642</Characters>
  <Application>Microsoft Office Word</Application>
  <DocSecurity>0</DocSecurity>
  <Lines>813</Lines>
  <Paragraphs>229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114543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WB372497</cp:lastModifiedBy>
  <cp:revision>2</cp:revision>
  <cp:lastPrinted>2012-05-04T06:31:00Z</cp:lastPrinted>
  <dcterms:created xsi:type="dcterms:W3CDTF">2012-05-08T14:00:00Z</dcterms:created>
  <dcterms:modified xsi:type="dcterms:W3CDTF">2012-05-08T14:00:00Z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